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726-6k_ascentage.htm"/>
      <w:bookmarkStart w:id="1" w:name="ksea03087266k_ascentag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Ascentage Pharma Group International (“Ascentage Pharma” or the “Company”) posted an announcement on the Hong Kong Stock Exchange entitled, “PURCHASE OF SHARES BY THE TRUSTEE FOR THE PURPOSE OF THE 2022 RSU SCHEME” . A copy of the announcement is furnished as Exhibit 99.1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1445"/>
        <w:gridCol w:w="60"/>
        <w:gridCol w:w="5240"/>
      </w:tblGrid>
      <w:tr>
        <w:trPr/>
        <w:tc>
          <w:tcPr>
            <w:tcW w:w="144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Number</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52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w:t>
            </w:r>
          </w:p>
        </w:tc>
      </w:tr>
      <w:tr>
        <w:trPr/>
        <w:tc>
          <w:tcPr>
            <w:tcW w:w="1445" w:type="dxa"/>
            <w:tcBorders/>
            <w:shd w:fill="CCEEFF" w:val="clear"/>
            <w:tcMar>
              <w:bottom w:w="0" w:type="dxa"/>
            </w:tcMar>
            <w:vAlign w:val="center"/>
          </w:tcPr>
          <w:p>
            <w:pPr>
              <w:pStyle w:val="TableContents"/>
              <w:bidi w:val="0"/>
              <w:spacing w:before="0" w:after="283"/>
              <w:jc w:val="left"/>
              <w:rPr/>
            </w:pPr>
            <w:r>
              <w:rPr/>
              <w:t>99.1  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40" w:type="dxa"/>
            <w:tcBorders/>
            <w:shd w:fill="CCEEFF" w:val="clear"/>
            <w:tcMar>
              <w:bottom w:w="0" w:type="dxa"/>
            </w:tcMar>
            <w:vAlign w:val="center"/>
          </w:tcPr>
          <w:p>
            <w:pPr>
              <w:pStyle w:val="TableContents"/>
              <w:bidi w:val="0"/>
              <w:spacing w:before="0" w:after="283"/>
              <w:jc w:val="left"/>
              <w:rPr/>
            </w:pPr>
            <w:hyperlink w:anchor="ea030872601ex99-1.htm">
              <w:r>
                <w:rPr>
                  <w:rStyle w:val="InternetLink"/>
                </w:rPr>
                <w:t>RSU Purchase Announcement dated October 15,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925"/>
        <w:gridCol w:w="4565"/>
      </w:tblGrid>
      <w:tr>
        <w:trPr/>
        <w:tc>
          <w:tcPr>
            <w:tcW w:w="192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192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15, 2026</w:t>
            </w:r>
          </w:p>
        </w:tc>
        <w:tc>
          <w:tcPr>
            <w:tcW w:w="45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Dajun Yang</w:t>
            </w:r>
          </w:p>
        </w:tc>
      </w:tr>
      <w:tr>
        <w:trPr/>
        <w:tc>
          <w:tcPr>
            <w:tcW w:w="192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Dajun Yang</w:t>
            </w:r>
          </w:p>
        </w:tc>
      </w:tr>
      <w:tr>
        <w:trPr/>
        <w:tc>
          <w:tcPr>
            <w:tcW w:w="192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872601ex99-1.htm"/>
      <w:bookmarkStart w:id="3" w:name="ksea030872601ex991"/>
      <w:bookmarkEnd w:id="2"/>
      <w:bookmarkEnd w:id="3"/>
      <w:r>
        <w:rPr>
          <w:b/>
        </w:rPr>
        <w:t>Exhibit 99.1</w:t>
      </w:r>
      <w:r>
        <w:br w:type="page"/>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2887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809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亞盛醫藥集團</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SHARES BY THE TRUSTEE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PURPOSE OF THE 2022 RSU SCHEME</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made by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a voluntary basis. Reference is made to the announcements of the Company dated June 23, 2022, July 14, 2022, October 21, 2022, October 25, 2022, October 26, 2022, October 27, 2022, October 28, 2022, October 31, 2022, May 8, 2023, November 13, 2023, November 14, 2023, November 16, 2023, February 2, 2024, September 2, 2024, October 24, 2024, March 31, 2025, April 8, 2025, April 30, 2025, June 27, 2025, November 27, 2025, December 30, 2025, April 20, 2026, April 30, 2026, May 27, 2026, May 28, 2026, June 10, 2026, June 11, 2026, June 29, 2026, July 13, 2026, September 17, 2026 and September 28, 2026 (the “</w:t>
      </w:r>
      <w:r>
        <w:rPr>
          <w:rFonts w:ascii="Times New Roman;Times;Serif" w:hAnsi="Times New Roman;Times;Serif"/>
          <w:b/>
          <w:i w:val="false"/>
          <w:caps w:val="false"/>
          <w:smallCaps w:val="false"/>
          <w:sz w:val="20"/>
        </w:rPr>
        <w:t>Announcements</w:t>
      </w:r>
      <w:r>
        <w:rPr>
          <w:rFonts w:ascii="Times New Roman;Times;Serif" w:hAnsi="Times New Roman;Times;Serif"/>
          <w:b w:val="false"/>
          <w:i w:val="false"/>
          <w:caps w:val="false"/>
          <w:smallCaps w:val="false"/>
          <w:sz w:val="20"/>
        </w:rPr>
        <w:t>”) in relation to, among other things, (i) the adoption of and amendments to the 2022 RSU Scheme; (ii) the initial grant and the further grants of the 2022 Awards thereunder; and (iii) the purchase of existing Shares by the Trustee on-market for the purpose of the 2022 RSU Scheme. Unless otherwise defined, capitalized terms used herein shall have the same meanings as those defined in the Announcements.</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Trustee purchased a total of 200,000 existing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on-market for the purpose of the 2022 RSU Scheme to satisfy the RSUs upon vesting. Details of the Purchased Shares and the latest information about the Shares held by the Trustee under the Scheme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88"/>
        <w:gridCol w:w="80"/>
        <w:gridCol w:w="1937"/>
      </w:tblGrid>
      <w:tr>
        <w:trPr/>
        <w:tc>
          <w:tcPr>
            <w:tcW w:w="8188" w:type="dxa"/>
            <w:tcBorders/>
            <w:vAlign w:val="center"/>
          </w:tcPr>
          <w:p>
            <w:pPr>
              <w:pStyle w:val="TableContents"/>
              <w:bidi w:val="0"/>
              <w:spacing w:before="0" w:after="283"/>
              <w:ind w:left="0" w:right="0" w:hanging="180"/>
              <w:jc w:val="left"/>
              <w:rPr/>
            </w:pPr>
            <w:r>
              <w:rPr/>
              <w:t>Purchase date</w:t>
            </w:r>
          </w:p>
        </w:tc>
        <w:tc>
          <w:tcPr>
            <w:tcW w:w="80" w:type="dxa"/>
            <w:tcBorders/>
            <w:vAlign w:val="center"/>
          </w:tcPr>
          <w:p>
            <w:pPr>
              <w:pStyle w:val="TableContents"/>
              <w:bidi w:val="0"/>
              <w:spacing w:before="0" w:after="283"/>
              <w:jc w:val="left"/>
              <w:rPr/>
            </w:pPr>
            <w:r>
              <w:rPr/>
              <w:t>:</w:t>
            </w:r>
          </w:p>
        </w:tc>
        <w:tc>
          <w:tcPr>
            <w:tcW w:w="1937" w:type="dxa"/>
            <w:tcBorders/>
            <w:vAlign w:val="center"/>
          </w:tcPr>
          <w:p>
            <w:pPr>
              <w:pStyle w:val="TableContents"/>
              <w:bidi w:val="0"/>
              <w:spacing w:before="0" w:after="283"/>
              <w:ind w:left="0" w:right="0" w:hanging="180"/>
              <w:jc w:val="left"/>
              <w:rPr/>
            </w:pPr>
            <w:r>
              <w:rPr/>
              <w:t>October 15, 2026</w:t>
            </w:r>
          </w:p>
        </w:tc>
      </w:tr>
      <w:tr>
        <w:trPr/>
        <w:tc>
          <w:tcPr>
            <w:tcW w:w="81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ind w:left="0" w:right="0" w:hanging="180"/>
              <w:jc w:val="left"/>
              <w:rPr/>
            </w:pPr>
            <w:r>
              <w:rPr/>
              <w:t> </w:t>
            </w:r>
          </w:p>
        </w:tc>
      </w:tr>
      <w:tr>
        <w:trPr/>
        <w:tc>
          <w:tcPr>
            <w:tcW w:w="8188" w:type="dxa"/>
            <w:tcBorders/>
            <w:vAlign w:val="center"/>
          </w:tcPr>
          <w:p>
            <w:pPr>
              <w:pStyle w:val="TableContents"/>
              <w:bidi w:val="0"/>
              <w:spacing w:before="0" w:after="283"/>
              <w:jc w:val="left"/>
              <w:rPr/>
            </w:pPr>
            <w:r>
              <w:rPr/>
              <w:t>Total number of the Purchased Shares</w:t>
            </w:r>
          </w:p>
        </w:tc>
        <w:tc>
          <w:tcPr>
            <w:tcW w:w="80" w:type="dxa"/>
            <w:tcBorders/>
            <w:vAlign w:val="center"/>
          </w:tcPr>
          <w:p>
            <w:pPr>
              <w:pStyle w:val="TableContents"/>
              <w:bidi w:val="0"/>
              <w:spacing w:before="0" w:after="283"/>
              <w:jc w:val="left"/>
              <w:rPr/>
            </w:pPr>
            <w:r>
              <w:rPr/>
              <w:t>:</w:t>
            </w:r>
          </w:p>
        </w:tc>
        <w:tc>
          <w:tcPr>
            <w:tcW w:w="1937" w:type="dxa"/>
            <w:tcBorders/>
            <w:vAlign w:val="center"/>
          </w:tcPr>
          <w:p>
            <w:pPr>
              <w:pStyle w:val="TableContents"/>
              <w:bidi w:val="0"/>
              <w:spacing w:before="0" w:after="283"/>
              <w:ind w:left="0" w:right="0" w:hanging="180"/>
              <w:jc w:val="left"/>
              <w:rPr/>
            </w:pPr>
            <w:r>
              <w:rPr/>
              <w:t>200,000 Shares</w:t>
            </w:r>
          </w:p>
        </w:tc>
      </w:tr>
      <w:tr>
        <w:trPr/>
        <w:tc>
          <w:tcPr>
            <w:tcW w:w="81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ind w:left="0" w:right="0" w:hanging="180"/>
              <w:jc w:val="left"/>
              <w:rPr/>
            </w:pPr>
            <w:r>
              <w:rPr/>
              <w:t> </w:t>
            </w:r>
          </w:p>
        </w:tc>
      </w:tr>
      <w:tr>
        <w:trPr/>
        <w:tc>
          <w:tcPr>
            <w:tcW w:w="8188" w:type="dxa"/>
            <w:tcBorders/>
            <w:vAlign w:val="center"/>
          </w:tcPr>
          <w:p>
            <w:pPr>
              <w:pStyle w:val="TableContents"/>
              <w:bidi w:val="0"/>
              <w:spacing w:before="0" w:after="283"/>
              <w:jc w:val="left"/>
              <w:rPr/>
            </w:pPr>
            <w:r>
              <w:rPr/>
              <w:t>Percentage of the Purchased Shares to the total number of issued Shares as at the date of this announcement  </w:t>
            </w:r>
          </w:p>
        </w:tc>
        <w:tc>
          <w:tcPr>
            <w:tcW w:w="80" w:type="dxa"/>
            <w:tcBorders/>
            <w:vAlign w:val="center"/>
          </w:tcPr>
          <w:p>
            <w:pPr>
              <w:pStyle w:val="TableContents"/>
              <w:bidi w:val="0"/>
              <w:spacing w:before="0" w:after="283"/>
              <w:jc w:val="left"/>
              <w:rPr/>
            </w:pPr>
            <w:r>
              <w:rPr/>
              <w:t>:</w:t>
            </w:r>
          </w:p>
        </w:tc>
        <w:tc>
          <w:tcPr>
            <w:tcW w:w="1937" w:type="dxa"/>
            <w:tcBorders/>
            <w:vAlign w:val="center"/>
          </w:tcPr>
          <w:p>
            <w:pPr>
              <w:pStyle w:val="TableContents"/>
              <w:bidi w:val="0"/>
              <w:spacing w:before="0" w:after="283"/>
              <w:ind w:left="0" w:right="0" w:hanging="180"/>
              <w:jc w:val="left"/>
              <w:rPr/>
            </w:pPr>
            <w:r>
              <w:rPr/>
              <w:t>Approximately 0.05%</w:t>
            </w:r>
          </w:p>
        </w:tc>
      </w:tr>
      <w:tr>
        <w:trPr/>
        <w:tc>
          <w:tcPr>
            <w:tcW w:w="81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ind w:left="0" w:right="0" w:hanging="180"/>
              <w:jc w:val="left"/>
              <w:rPr/>
            </w:pPr>
            <w:r>
              <w:rPr/>
              <w:t> </w:t>
            </w:r>
          </w:p>
        </w:tc>
      </w:tr>
      <w:tr>
        <w:trPr/>
        <w:tc>
          <w:tcPr>
            <w:tcW w:w="8188" w:type="dxa"/>
            <w:tcBorders/>
            <w:vAlign w:val="center"/>
          </w:tcPr>
          <w:p>
            <w:pPr>
              <w:pStyle w:val="TableContents"/>
              <w:bidi w:val="0"/>
              <w:spacing w:before="0" w:after="283"/>
              <w:jc w:val="left"/>
              <w:rPr/>
            </w:pPr>
            <w:r>
              <w:rPr/>
              <w:t xml:space="preserve">Total consideration paid for the Purchased Shares (excluding all related expenses, transaction levy, brokerage, tax, duties and levies) </w:t>
            </w:r>
          </w:p>
        </w:tc>
        <w:tc>
          <w:tcPr>
            <w:tcW w:w="80" w:type="dxa"/>
            <w:tcBorders/>
            <w:vAlign w:val="center"/>
          </w:tcPr>
          <w:p>
            <w:pPr>
              <w:pStyle w:val="TableContents"/>
              <w:bidi w:val="0"/>
              <w:spacing w:before="0" w:after="283"/>
              <w:jc w:val="left"/>
              <w:rPr/>
            </w:pPr>
            <w:r>
              <w:rPr/>
              <w:t>:</w:t>
            </w:r>
          </w:p>
        </w:tc>
        <w:tc>
          <w:tcPr>
            <w:tcW w:w="1937" w:type="dxa"/>
            <w:tcBorders/>
            <w:vAlign w:val="center"/>
          </w:tcPr>
          <w:p>
            <w:pPr>
              <w:pStyle w:val="TableContents"/>
              <w:bidi w:val="0"/>
              <w:spacing w:before="0" w:after="283"/>
              <w:ind w:left="0" w:right="0" w:hanging="180"/>
              <w:jc w:val="left"/>
              <w:rPr/>
            </w:pPr>
            <w:r>
              <w:rPr/>
              <w:t>HK$5,778,916</w:t>
            </w:r>
          </w:p>
        </w:tc>
      </w:tr>
      <w:tr>
        <w:trPr/>
        <w:tc>
          <w:tcPr>
            <w:tcW w:w="81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ind w:left="0" w:right="0" w:hanging="180"/>
              <w:jc w:val="left"/>
              <w:rPr/>
            </w:pPr>
            <w:r>
              <w:rPr/>
              <w:t> </w:t>
            </w:r>
          </w:p>
        </w:tc>
      </w:tr>
      <w:tr>
        <w:trPr/>
        <w:tc>
          <w:tcPr>
            <w:tcW w:w="8188" w:type="dxa"/>
            <w:tcBorders/>
            <w:vAlign w:val="center"/>
          </w:tcPr>
          <w:p>
            <w:pPr>
              <w:pStyle w:val="TableContents"/>
              <w:bidi w:val="0"/>
              <w:spacing w:before="0" w:after="283"/>
              <w:jc w:val="left"/>
              <w:rPr/>
            </w:pPr>
            <w:r>
              <w:rPr/>
              <w:t xml:space="preserve">Average consideration per Purchased Share (excluding all related expenses, transaction levy, brokerage, tax, duties and levies) </w:t>
            </w:r>
          </w:p>
        </w:tc>
        <w:tc>
          <w:tcPr>
            <w:tcW w:w="80" w:type="dxa"/>
            <w:tcBorders/>
            <w:vAlign w:val="center"/>
          </w:tcPr>
          <w:p>
            <w:pPr>
              <w:pStyle w:val="TableContents"/>
              <w:bidi w:val="0"/>
              <w:spacing w:before="0" w:after="283"/>
              <w:jc w:val="left"/>
              <w:rPr/>
            </w:pPr>
            <w:r>
              <w:rPr/>
              <w:t>:</w:t>
            </w:r>
          </w:p>
        </w:tc>
        <w:tc>
          <w:tcPr>
            <w:tcW w:w="1937" w:type="dxa"/>
            <w:tcBorders/>
            <w:vAlign w:val="center"/>
          </w:tcPr>
          <w:p>
            <w:pPr>
              <w:pStyle w:val="TableContents"/>
              <w:bidi w:val="0"/>
              <w:spacing w:before="0" w:after="283"/>
              <w:ind w:left="0" w:right="0" w:hanging="180"/>
              <w:jc w:val="left"/>
              <w:rPr/>
            </w:pPr>
            <w:r>
              <w:rPr/>
              <w:t>Approximately HK$28.89</w:t>
            </w:r>
          </w:p>
        </w:tc>
      </w:tr>
      <w:tr>
        <w:trPr/>
        <w:tc>
          <w:tcPr>
            <w:tcW w:w="81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ind w:left="0" w:right="0" w:hanging="180"/>
              <w:jc w:val="left"/>
              <w:rPr/>
            </w:pPr>
            <w:r>
              <w:rPr/>
              <w:t> </w:t>
            </w:r>
          </w:p>
        </w:tc>
      </w:tr>
      <w:tr>
        <w:trPr/>
        <w:tc>
          <w:tcPr>
            <w:tcW w:w="8188" w:type="dxa"/>
            <w:tcBorders/>
            <w:vAlign w:val="center"/>
          </w:tcPr>
          <w:p>
            <w:pPr>
              <w:pStyle w:val="TableContents"/>
              <w:bidi w:val="0"/>
              <w:spacing w:before="0" w:after="283"/>
              <w:jc w:val="left"/>
              <w:rPr/>
            </w:pPr>
            <w:r>
              <w:rPr/>
              <w:t>Total number of existing Shares purchased by the Trustee on-market for the purpose of the 2022 RSU Scheme immediately after the aforesaid purchases</w:t>
            </w:r>
          </w:p>
        </w:tc>
        <w:tc>
          <w:tcPr>
            <w:tcW w:w="80" w:type="dxa"/>
            <w:tcBorders/>
            <w:vAlign w:val="center"/>
          </w:tcPr>
          <w:p>
            <w:pPr>
              <w:pStyle w:val="TableContents"/>
              <w:bidi w:val="0"/>
              <w:spacing w:before="0" w:after="283"/>
              <w:jc w:val="left"/>
              <w:rPr/>
            </w:pPr>
            <w:r>
              <w:rPr/>
              <w:t>:</w:t>
            </w:r>
          </w:p>
        </w:tc>
        <w:tc>
          <w:tcPr>
            <w:tcW w:w="1937" w:type="dxa"/>
            <w:tcBorders/>
            <w:vAlign w:val="center"/>
          </w:tcPr>
          <w:p>
            <w:pPr>
              <w:pStyle w:val="TableContents"/>
              <w:bidi w:val="0"/>
              <w:spacing w:before="0" w:after="283"/>
              <w:jc w:val="left"/>
              <w:rPr/>
            </w:pPr>
            <w:r>
              <w:rPr/>
              <w:t>2,915,000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Shares are currently held by the Trustee in accordance with the 2022 RSU Scheme Rules and the terms of the trust deed entered into between the Company and the Trustee. The Trustee shall not exercise the voting rights attached to the Shares held on trust by it. As at the date of this announcement, no further grant of Awards has been made pursuant to the 2022 RSU Scheme apart from the initial grant of the 2022 Awards on June 23, 2022 and the further grants of the 2022 Awards on May 4, 2023, September 2, 2024, June 27, 2025, November 26, 2025, April 20, 2026 and June 29, 2026 as disclosed in the Announcements.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75"/>
        <w:gridCol w:w="4145"/>
      </w:tblGrid>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pPr>
            <w:r>
              <w:rPr/>
              <w:t>By Order of the Board</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b/>
              </w:rPr>
            </w:pPr>
            <w:r>
              <w:rPr>
                <w:b/>
              </w:rPr>
              <w:t xml:space="preserve">Ascentage Pharma Group International </w:t>
              <w:br/>
              <w:t>Dr. Yang Dajun</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center"/>
              <w:rPr>
                <w:i/>
              </w:rPr>
            </w:pPr>
            <w:r>
              <w:rPr>
                <w:i/>
              </w:rPr>
              <w:t>Chairman and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People’s Republic of China, 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Dr. Yang Dajun as Chairman and executive Director, Dr. Wang Shaomeng and Dr. Lu Simon Dazhong</w:t>
      </w:r>
      <w:r>
        <w:rPr>
          <w:rFonts w:ascii="Times New Roman;Times;Serif" w:hAnsi="Times New Roman;Times;Serif"/>
          <w:b w:val="false"/>
          <w:i/>
          <w:caps w:val="false"/>
          <w:smallCaps w:val="false"/>
          <w:position w:val="7"/>
          <w:sz w:val="16"/>
          <w:sz w:val="20"/>
        </w:rPr>
        <w:t>Note 1</w:t>
      </w:r>
      <w:r>
        <w:rPr>
          <w:rFonts w:ascii="Times New Roman;Times;Serif" w:hAnsi="Times New Roman;Times;Serif"/>
          <w:b w:val="false"/>
          <w:i/>
          <w:caps w:val="false"/>
          <w:smallCaps w:val="false"/>
          <w:sz w:val="20"/>
        </w:rPr>
        <w:t xml:space="preserve"> as non-executive Directors, and Mr. Ye Changqing, Mr. Ren Wei, Dr. David Sidransky </w:t>
      </w:r>
      <w:r>
        <w:rPr>
          <w:rFonts w:ascii="Times New Roman;Times;Serif" w:hAnsi="Times New Roman;Times;Serif"/>
          <w:b w:val="false"/>
          <w:i/>
          <w:caps w:val="false"/>
          <w:smallCaps w:val="false"/>
          <w:position w:val="7"/>
          <w:sz w:val="16"/>
          <w:sz w:val="20"/>
        </w:rPr>
        <w:t>Note 2</w:t>
      </w:r>
      <w:r>
        <w:rPr>
          <w:rFonts w:ascii="Times New Roman;Times;Serif" w:hAnsi="Times New Roman;Times;Serif"/>
          <w:b w:val="false"/>
          <w:i/>
          <w:caps w:val="false"/>
          <w:smallCaps w:val="false"/>
          <w:sz w:val="20"/>
        </w:rPr>
        <w:t>, Ms. Marina S. Bozilenko, Dr. Debra Yu and Dr. Marc E. Lippman, MD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i/>
              </w:rPr>
            </w:pPr>
            <w:r>
              <w:rPr>
                <w:i/>
              </w:rPr>
              <w:t>1.</w:t>
            </w:r>
          </w:p>
        </w:tc>
        <w:tc>
          <w:tcPr>
            <w:tcW w:w="10014" w:type="dxa"/>
            <w:tcBorders/>
            <w:vAlign w:val="center"/>
          </w:tcPr>
          <w:p>
            <w:pPr>
              <w:pStyle w:val="TableContents"/>
              <w:bidi w:val="0"/>
              <w:spacing w:before="0" w:after="283"/>
              <w:jc w:val="left"/>
              <w:rPr>
                <w:i/>
              </w:rPr>
            </w:pPr>
            <w:r>
              <w:rPr>
                <w:i/>
              </w:rPr>
              <w:t>Dr. Lu Simon Dazhong satisfies the independence requirements of the U.S. Securities and Exchange Commission and Nasdaq corporate governance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15"/>
        <w:gridCol w:w="8285"/>
      </w:tblGrid>
      <w:tr>
        <w:trPr/>
        <w:tc>
          <w:tcPr>
            <w:tcW w:w="215" w:type="dxa"/>
            <w:tcBorders/>
            <w:vAlign w:val="center"/>
          </w:tcPr>
          <w:p>
            <w:pPr>
              <w:pStyle w:val="TableContents"/>
              <w:bidi w:val="0"/>
              <w:spacing w:before="0" w:after="283"/>
              <w:jc w:val="left"/>
              <w:rPr>
                <w:i/>
              </w:rPr>
            </w:pPr>
            <w:r>
              <w:rPr>
                <w:i/>
              </w:rPr>
              <w:t>2.</w:t>
            </w:r>
          </w:p>
        </w:tc>
        <w:tc>
          <w:tcPr>
            <w:tcW w:w="8285" w:type="dxa"/>
            <w:tcBorders/>
            <w:vAlign w:val="center"/>
          </w:tcPr>
          <w:p>
            <w:pPr>
              <w:pStyle w:val="TableContents"/>
              <w:bidi w:val="0"/>
              <w:spacing w:before="0" w:after="283"/>
              <w:jc w:val="left"/>
              <w:rPr>
                <w:i/>
              </w:rPr>
            </w:pPr>
            <w:r>
              <w:rPr>
                <w:i/>
              </w:rPr>
              <w:t>Dr. David Sidransky is the Lead Independent Non-Executive Director of the Company.</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883</Words>
  <Characters>4552</Characters>
  <CharactersWithSpaces>5446</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