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951-6k_ascentage.htm"/>
      <w:bookmarkStart w:id="1" w:name="ksea03019516k_ascentag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Ascentage Pharma Group International (“Ascentage Pharma” or the “Company”) issued a press release entitled, “CORRECTION: Ascentage Pharma to Report 2026 Six Month Interim Results and Provide Corporate Update on August 19, 2026”. A copy of the press release is furnished as Exhibit 99.1 to this Report. On August 13, 2026, Ascentage Pharma Group International issued an English language and Chinese language version of a press release entitled, “Ascentage Pharma to Participate in the Evercore 2nd Annual China Biotech Summit”. Copies of the press releases are furnished as Exhibits 99.2 and 99.3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5365" w:type="dxa"/>
        <w:jc w:val="left"/>
        <w:tblInd w:w="0" w:type="dxa"/>
        <w:tblLayout w:type="fixed"/>
        <w:tblCellMar>
          <w:top w:w="0" w:type="dxa"/>
          <w:left w:w="0" w:type="dxa"/>
          <w:bottom w:w="28" w:type="dxa"/>
          <w:right w:w="0" w:type="dxa"/>
        </w:tblCellMar>
      </w:tblPr>
      <w:tblGrid>
        <w:gridCol w:w="1445"/>
        <w:gridCol w:w="60"/>
        <w:gridCol w:w="3860"/>
      </w:tblGrid>
      <w:tr>
        <w:trPr/>
        <w:tc>
          <w:tcPr>
            <w:tcW w:w="144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 Number</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left"/>
              <w:rPr/>
            </w:pPr>
            <w:r>
              <w:rPr/>
              <w:t> </w:t>
            </w:r>
          </w:p>
        </w:tc>
        <w:tc>
          <w:tcPr>
            <w:tcW w:w="386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Title</w:t>
            </w:r>
          </w:p>
        </w:tc>
      </w:tr>
      <w:tr>
        <w:trPr/>
        <w:tc>
          <w:tcPr>
            <w:tcW w:w="14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60" w:type="dxa"/>
            <w:tcBorders/>
            <w:shd w:fill="CCEEFF" w:val="clear"/>
            <w:tcMar>
              <w:bottom w:w="0" w:type="dxa"/>
            </w:tcMar>
            <w:vAlign w:val="center"/>
          </w:tcPr>
          <w:p>
            <w:pPr>
              <w:pStyle w:val="TableContents"/>
              <w:bidi w:val="0"/>
              <w:spacing w:before="0" w:after="0"/>
              <w:ind w:left="0" w:right="0" w:hanging="0"/>
              <w:jc w:val="left"/>
              <w:rPr/>
            </w:pPr>
            <w:hyperlink w:anchor="ea030195101ex99-1.htm">
              <w:r>
                <w:rPr>
                  <w:rStyle w:val="InternetLink"/>
                  <w:rFonts w:ascii="Times New Roman;Times;Serif" w:hAnsi="Times New Roman;Times;Serif"/>
                  <w:b w:val="false"/>
                  <w:i w:val="false"/>
                  <w:caps w:val="false"/>
                  <w:smallCaps w:val="false"/>
                  <w:sz w:val="20"/>
                </w:rPr>
                <w:t>Press release dated August 5, 2026</w:t>
              </w:r>
            </w:hyperlink>
          </w:p>
        </w:tc>
      </w:tr>
      <w:tr>
        <w:trPr/>
        <w:tc>
          <w:tcPr>
            <w:tcW w:w="1445"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60" w:type="dxa"/>
            <w:tcBorders/>
            <w:shd w:fill="FFFFFF" w:val="clear"/>
            <w:tcMar>
              <w:bottom w:w="0" w:type="dxa"/>
            </w:tcMar>
            <w:vAlign w:val="center"/>
          </w:tcPr>
          <w:p>
            <w:pPr>
              <w:pStyle w:val="TableContents"/>
              <w:bidi w:val="0"/>
              <w:spacing w:before="0" w:after="283"/>
              <w:jc w:val="left"/>
              <w:rPr/>
            </w:pPr>
            <w:hyperlink w:anchor="ea030195101ex99-2.htm">
              <w:r>
                <w:rPr>
                  <w:rStyle w:val="InternetLink"/>
                </w:rPr>
                <w:t>EN Press release dated August 13, 2026</w:t>
              </w:r>
            </w:hyperlink>
          </w:p>
        </w:tc>
      </w:tr>
      <w:tr>
        <w:trPr/>
        <w:tc>
          <w:tcPr>
            <w:tcW w:w="1445" w:type="dxa"/>
            <w:tcBorders/>
            <w:shd w:fill="CCEEFF" w:val="clear"/>
            <w:tcMar>
              <w:bottom w:w="0" w:type="dxa"/>
            </w:tcMar>
            <w:vAlign w:val="center"/>
          </w:tcPr>
          <w:p>
            <w:pPr>
              <w:pStyle w:val="TableContents"/>
              <w:bidi w:val="0"/>
              <w:spacing w:before="0" w:after="283"/>
              <w:jc w:val="left"/>
              <w:rPr/>
            </w:pPr>
            <w:r>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60" w:type="dxa"/>
            <w:tcBorders/>
            <w:shd w:fill="CCEEFF" w:val="clear"/>
            <w:tcMar>
              <w:bottom w:w="0" w:type="dxa"/>
            </w:tcMar>
            <w:vAlign w:val="center"/>
          </w:tcPr>
          <w:p>
            <w:pPr>
              <w:pStyle w:val="TableContents"/>
              <w:bidi w:val="0"/>
              <w:spacing w:before="0" w:after="283"/>
              <w:jc w:val="left"/>
              <w:rPr/>
            </w:pPr>
            <w:hyperlink w:anchor="ea030195101ex99-3.htm">
              <w:r>
                <w:rPr>
                  <w:rStyle w:val="InternetLink"/>
                </w:rPr>
                <w:t>CN Press release dated August 13,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29" w:type="dxa"/>
        <w:jc w:val="left"/>
        <w:tblInd w:w="0" w:type="dxa"/>
        <w:tblLayout w:type="fixed"/>
        <w:tblCellMar>
          <w:top w:w="0" w:type="dxa"/>
          <w:left w:w="0" w:type="dxa"/>
          <w:bottom w:w="0" w:type="dxa"/>
          <w:right w:w="0" w:type="dxa"/>
        </w:tblCellMar>
      </w:tblPr>
      <w:tblGrid>
        <w:gridCol w:w="1865"/>
        <w:gridCol w:w="995"/>
        <w:gridCol w:w="3569"/>
      </w:tblGrid>
      <w:tr>
        <w:trPr/>
        <w:tc>
          <w:tcPr>
            <w:tcW w:w="186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ASCENTAGE PHARMA GROUP INTERNATIONAL</w:t>
            </w:r>
          </w:p>
        </w:tc>
      </w:tr>
      <w:tr>
        <w:trPr/>
        <w:tc>
          <w:tcPr>
            <w:tcW w:w="186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Dajun Yang</w:t>
            </w:r>
          </w:p>
        </w:tc>
      </w:tr>
      <w:tr>
        <w:trPr/>
        <w:tc>
          <w:tcPr>
            <w:tcW w:w="186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Dajun Yang</w:t>
            </w:r>
          </w:p>
        </w:tc>
      </w:tr>
      <w:tr>
        <w:trPr/>
        <w:tc>
          <w:tcPr>
            <w:tcW w:w="186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3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ea030195101ex99-1.htm"/>
      <w:bookmarkStart w:id="3" w:name="ksea030195101ex991"/>
      <w:bookmarkEnd w:id="2"/>
      <w:bookmarkEnd w:id="3"/>
      <w:r>
        <w:rPr>
          <w:rFonts w:ascii="Times New Roman;Times;Serif" w:hAnsi="Times New Roman;Times;Serif"/>
          <w:b/>
          <w:i w:val="false"/>
          <w:caps w:val="false"/>
          <w:smallCaps w:val="false"/>
          <w:sz w:val="20"/>
        </w:rPr>
        <w:t>Exhibit 99.1</w:t>
      </w:r>
      <w:r>
        <w:br w:type="page"/>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2362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752475"/>
                    </a:xfrm>
                    <a:prstGeom prst="rect">
                      <a:avLst/>
                    </a:prstGeom>
                  </pic:spPr>
                </pic:pic>
              </a:graphicData>
            </a:graphic>
          </wp:inline>
        </w:drawing>
      </w: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CORRECTION: Ascentage Pharma to Report 2026 Six Month Interim Results and Provide Corporate Update on August 19, 2026</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 release issued under the same headline earlier today by Ascentage Pharma Group International (NASDAQ: AAPG; HKEX: 6855),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note that in the first paragraph of the release, the time should be 7:00 am Eastern Daylight Time (EDT) on August 19, 2026 / 7:00 pm Hong Kong Time (HKT) and not 9 am EDT and 9 pm HKT as previously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7" w:right="1382"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corrected release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Aug. 05, 2026 (GLOBE NEWSWIRE) -- Ascentage Pharma Group International (NASDAQ: AAPG; HKEX: 6855) (“Ascentage Pharma” or the “Company”), a global, commercial-stage, integrated biopharmaceutical company engaged in the discovery, development and commercialization of novel therapies to address unmet medical needs in cancer, announced today that it will release its six months 2026 unaudited interim results and provide business updates at 7:00 am Eastern Daylight Time (EDT) on August 19, 2026 / 7:00 pm Hong Kong Time (HKT) on August 19,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Analysts and investors are invited to join the investor webcast with Q&amp;A, conducted by the Company’s management team.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will host a Chinese (Mandarin) language investor webcast at 9:00 pm EDT on August 19, 2026 / 9:00 am HKT on August 20, 2026. To access the Chinese language investor event or conference call, please register in advance here.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English language investor conference call and webcast will be held at 8:00 am EDT / 8:00 pm HKT on August 20, 2026. To access the English language webcast, please register in advance here. The webcast replay for the English language conference call and presentation will also be available on the News &amp; Events page of the Ascentage Pharma website.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Ascentage Pharma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Olverembatinib, is the first novel third- 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an FDA- and EMA-cleared registrational Phase III trials for patients with newly diagnosed Ph+ ALL, called POLARIS-1, and SDH-deficient GIST patients, called POLARIS-3.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 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 Information: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Stella Yang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IR@ascentage.com</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(301) 792-6286</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both"/>
        <w:rPr>
          <w:caps w:val="false"/>
          <w:smallCaps w:val="false"/>
        </w:rPr>
      </w:pPr>
      <w:r>
        <w:rPr>
          <w:caps w:val="false"/>
          <w:smallCaps w:val="false"/>
        </w:rPr>
        <w:t> </w:t>
      </w:r>
    </w:p>
    <w:p>
      <w:pPr>
        <w:pStyle w:val="TextBody"/>
        <w:bidi w:val="0"/>
        <w:jc w:val="right"/>
        <w:rPr>
          <w:b/>
        </w:rPr>
      </w:pPr>
      <w:bookmarkStart w:id="4" w:name="ea030195101ex99-2.htm"/>
      <w:bookmarkStart w:id="5" w:name="ksea030195101ex992"/>
      <w:bookmarkEnd w:id="4"/>
      <w:bookmarkEnd w:id="5"/>
      <w:r>
        <w:rPr>
          <w:b/>
        </w:rPr>
        <w:t>Exhibit 99.2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to Participate in the Evercore 2nd Annual China Biotech Summit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ROCKVILLE, MD, August 13, 2026 -- Ascentage Pharma Group International (NASDAQ: AAPG; HKEX: 6855) (“Ascentage Pharma” or the “Company”), a global, commercial-stage, integrated biopharmaceutical company engaged in the discovery, development and commercialization of novel, differentiated therapies to address unmet medical needs in cancer, announced today that the Company’s management will participate in the Evercore ISI 2nd Annual China Biotech Summit, being held August 17-19, 2026 at The Ritz-Carlton Shanghai, Pudong.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participate in a fireside chat moderated by the Evercore research team and one-on-one investor meetings during the conference.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Fireside Chat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w:t>
      </w: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Time: </w:t>
      </w:r>
      <w:r>
        <w:rPr>
          <w:rFonts w:ascii="Times New Roman;Times;Serif" w:hAnsi="Times New Roman;Times;Serif"/>
          <w:b w:val="false"/>
          <w:i w:val="false"/>
          <w:caps w:val="false"/>
          <w:smallCaps w:val="false"/>
          <w:sz w:val="20"/>
        </w:rPr>
        <w:t>7:45-8:00am Beijing Time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Location: </w:t>
      </w:r>
      <w:r>
        <w:rPr>
          <w:rFonts w:ascii="Times New Roman;Times;Serif" w:hAnsi="Times New Roman;Times;Serif"/>
          <w:b w:val="false"/>
          <w:i w:val="false"/>
          <w:caps w:val="false"/>
          <w:smallCaps w:val="false"/>
          <w:sz w:val="20"/>
        </w:rPr>
        <w:t>The Ritz-Carlton Shanghai, Pudong, Grand Ballroom 2 &amp;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interested in scheduling a meeting with the Ascentage Pharma management team should contact their Evercore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Ascentage Pharma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FDA- and EMA-cleared registrational Phase III trials for patients with newly diagnosed Ph+ ALL, called POLARIS-1, and SDH-deficient GIST patients, called POLARIS-3.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press release do not constitute profit forecast by the Company’s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Sumedh Sunkaraneni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IR@ascentage.com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(301) 792-6286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Korb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brian.korb@astrpartners.com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(917) 653-5122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 w:name="ea030195101ex99-3.htm"/>
      <w:bookmarkStart w:id="7" w:name="ksea030195101ex993"/>
      <w:bookmarkEnd w:id="6"/>
      <w:bookmarkEnd w:id="7"/>
      <w:r>
        <w:rPr>
          <w:b/>
        </w:rPr>
        <w:t>Exhibit 99.3</w:t>
      </w:r>
      <w:r>
        <w:br w:type="page"/>
      </w:r>
    </w:p>
    <w:p>
      <w:pPr>
        <w:pStyle w:val="TextBody"/>
        <w:bidi w:val="0"/>
        <w:jc w:val="center"/>
        <w:rPr/>
      </w:pPr>
      <w:r>
        <w:rPr/>
        <w:t> </w:t>
      </w:r>
    </w:p>
    <w:p>
      <w:pPr>
        <w:pStyle w:val="TextBody"/>
        <w:bidi w:val="0"/>
        <w:jc w:val="center"/>
        <w:rPr/>
      </w:pPr>
      <w:r>
        <w:rPr/>
        <w:drawing>
          <wp:inline distT="0" distB="0" distL="0" distR="0">
            <wp:extent cx="1714500"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647700"/>
                    </a:xfrm>
                    <a:prstGeom prst="rect">
                      <a:avLst/>
                    </a:prstGeom>
                  </pic:spPr>
                </pic:pic>
              </a:graphicData>
            </a:graphic>
          </wp:inline>
        </w:drawing>
      </w:r>
    </w:p>
    <w:p>
      <w:pPr>
        <w:pStyle w:val="TextBody"/>
        <w:bidi w:val="0"/>
        <w:jc w:val="center"/>
        <w:rPr/>
      </w:pPr>
      <w:r>
        <w:rPr/>
        <w:t> </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36"/>
        </w:rPr>
        <w:t>亚盛医药受邀出席</w:t>
      </w:r>
      <w:r>
        <w:rPr>
          <w:rFonts w:ascii="Times New Roman;Times;Serif" w:hAnsi="Times New Roman;Times;Serif"/>
          <w:b/>
          <w:i w:val="false"/>
          <w:caps w:val="false"/>
          <w:smallCaps w:val="false"/>
          <w:sz w:val="36"/>
        </w:rPr>
        <w:t>Evercore</w:t>
      </w:r>
      <w:r>
        <w:rPr>
          <w:rFonts w:eastAsia="Times New Roman;Times;Serif"/>
          <w:b/>
          <w:i w:val="false"/>
          <w:caps w:val="false"/>
          <w:smallCaps w:val="false"/>
          <w:sz w:val="36"/>
        </w:rPr>
        <w:t>第二届中国生物科技峰会并参加炉边谈话</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i w:val="false"/>
          <w:caps w:val="false"/>
          <w:smallCaps w:val="false"/>
          <w:sz w:val="20"/>
        </w:rPr>
        <w:t>中国苏州，</w:t>
      </w:r>
      <w:r>
        <w:rPr>
          <w:rFonts w:ascii="Times New Roman;Times;Serif" w:hAnsi="Times New Roman;Times;Serif"/>
          <w:b/>
          <w:i w:val="false"/>
          <w:caps w:val="false"/>
          <w:smallCaps w:val="false"/>
          <w:sz w:val="20"/>
        </w:rPr>
        <w:t>2026</w:t>
      </w:r>
      <w:r>
        <w:rPr>
          <w:rFonts w:eastAsia="Times New Roman;Times;Serif"/>
          <w:b/>
          <w:i w:val="false"/>
          <w:caps w:val="false"/>
          <w:smallCaps w:val="false"/>
          <w:sz w:val="20"/>
        </w:rPr>
        <w:t>年</w:t>
      </w:r>
      <w:r>
        <w:rPr>
          <w:rFonts w:ascii="Times New Roman;Times;Serif" w:hAnsi="Times New Roman;Times;Serif"/>
          <w:b/>
          <w:i w:val="false"/>
          <w:caps w:val="false"/>
          <w:smallCaps w:val="false"/>
          <w:sz w:val="20"/>
        </w:rPr>
        <w:t>8</w:t>
      </w:r>
      <w:r>
        <w:rPr>
          <w:rFonts w:eastAsia="Times New Roman;Times;Serif"/>
          <w:b/>
          <w:i w:val="false"/>
          <w:caps w:val="false"/>
          <w:smallCaps w:val="false"/>
          <w:sz w:val="20"/>
        </w:rPr>
        <w:t>月</w:t>
      </w:r>
      <w:r>
        <w:rPr>
          <w:rFonts w:ascii="Times New Roman;Times;Serif" w:hAnsi="Times New Roman;Times;Serif"/>
          <w:b/>
          <w:i w:val="false"/>
          <w:caps w:val="false"/>
          <w:smallCaps w:val="false"/>
          <w:sz w:val="20"/>
        </w:rPr>
        <w:t>13</w:t>
      </w:r>
      <w:r>
        <w:rPr>
          <w:rFonts w:eastAsia="Times New Roman;Times;Serif"/>
          <w:b/>
          <w:i w:val="false"/>
          <w:caps w:val="false"/>
          <w:smallCaps w:val="false"/>
          <w:sz w:val="20"/>
        </w:rPr>
        <w:t>日</w:t>
      </w:r>
      <w:r>
        <w:rPr>
          <w:rFonts w:eastAsia="Times New Roman;Times;Serif"/>
          <w:b w:val="false"/>
          <w:i w:val="false"/>
          <w:caps w:val="false"/>
          <w:smallCaps w:val="false"/>
          <w:sz w:val="20"/>
        </w:rPr>
        <w:t>–致力于在肿瘤等领域开发创新药物的领先的生物医药企业——亚盛医药（纳斯达克代码：</w:t>
      </w:r>
      <w:r>
        <w:rPr>
          <w:rFonts w:ascii="Times New Roman;Times;Serif" w:hAnsi="Times New Roman;Times;Serif"/>
          <w:b w:val="false"/>
          <w:i w:val="false"/>
          <w:caps w:val="false"/>
          <w:smallCaps w:val="false"/>
          <w:sz w:val="20"/>
        </w:rPr>
        <w:t>AAPG</w:t>
      </w:r>
      <w:r>
        <w:rPr>
          <w:rFonts w:eastAsia="Times New Roman;Times;Serif"/>
          <w:b w:val="false"/>
          <w:i w:val="false"/>
          <w:caps w:val="false"/>
          <w:smallCaps w:val="false"/>
          <w:sz w:val="20"/>
        </w:rPr>
        <w:t>；香港联交所代码：</w:t>
      </w:r>
      <w:r>
        <w:rPr>
          <w:rFonts w:ascii="Times New Roman;Times;Serif" w:hAnsi="Times New Roman;Times;Serif"/>
          <w:b w:val="false"/>
          <w:i w:val="false"/>
          <w:caps w:val="false"/>
          <w:smallCaps w:val="false"/>
          <w:sz w:val="20"/>
        </w:rPr>
        <w:t>6855</w:t>
      </w:r>
      <w:r>
        <w:rPr>
          <w:rFonts w:eastAsia="Times New Roman;Times;Serif"/>
          <w:b w:val="false"/>
          <w:i w:val="false"/>
          <w:caps w:val="false"/>
          <w:smallCaps w:val="false"/>
          <w:sz w:val="20"/>
        </w:rPr>
        <w:t>）今日宣布，公司管理层将出席于</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8</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17</w:t>
      </w:r>
      <w:r>
        <w:rPr>
          <w:rFonts w:eastAsia="Times New Roman;Times;Serif"/>
          <w:b w:val="false"/>
          <w:i w:val="false"/>
          <w:caps w:val="false"/>
          <w:smallCaps w:val="false"/>
          <w:sz w:val="20"/>
        </w:rPr>
        <w:t>日</w:t>
      </w:r>
      <w:r>
        <w:rPr>
          <w:rFonts w:ascii="Times New Roman;Times;Serif" w:hAnsi="Times New Roman;Times;Serif"/>
          <w:b w:val="false"/>
          <w:i w:val="false"/>
          <w:caps w:val="false"/>
          <w:smallCaps w:val="false"/>
          <w:sz w:val="20"/>
        </w:rPr>
        <w:t>-19</w:t>
      </w:r>
      <w:r>
        <w:rPr>
          <w:rFonts w:eastAsia="Times New Roman;Times;Serif"/>
          <w:b w:val="false"/>
          <w:i w:val="false"/>
          <w:caps w:val="false"/>
          <w:smallCaps w:val="false"/>
          <w:sz w:val="20"/>
        </w:rPr>
        <w:t>日在上海浦东丽思卡尔顿酒店举办的</w:t>
      </w:r>
      <w:r>
        <w:rPr>
          <w:rFonts w:ascii="Times New Roman;Times;Serif" w:hAnsi="Times New Roman;Times;Serif"/>
          <w:b w:val="false"/>
          <w:i w:val="false"/>
          <w:caps w:val="false"/>
          <w:smallCaps w:val="false"/>
          <w:sz w:val="20"/>
        </w:rPr>
        <w:t>Evercore</w:t>
      </w:r>
      <w:r>
        <w:rPr>
          <w:rFonts w:eastAsia="Times New Roman;Times;Serif"/>
          <w:b w:val="false"/>
          <w:i w:val="false"/>
          <w:caps w:val="false"/>
          <w:smallCaps w:val="false"/>
          <w:sz w:val="20"/>
        </w:rPr>
        <w:t>第二届中国生物科技峰会。</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会议期间，公司管理层将参与由</w:t>
      </w:r>
      <w:r>
        <w:rPr>
          <w:rFonts w:ascii="Times New Roman;Times;Serif" w:hAnsi="Times New Roman;Times;Serif"/>
          <w:b w:val="false"/>
          <w:i w:val="false"/>
          <w:caps w:val="false"/>
          <w:smallCaps w:val="false"/>
          <w:sz w:val="20"/>
        </w:rPr>
        <w:t>Evercore</w:t>
      </w:r>
      <w:r>
        <w:rPr>
          <w:rFonts w:eastAsia="Times New Roman;Times;Serif"/>
          <w:b w:val="false"/>
          <w:i w:val="false"/>
          <w:caps w:val="false"/>
          <w:smallCaps w:val="false"/>
          <w:sz w:val="20"/>
        </w:rPr>
        <w:t>研究团队主持的炉边谈话，并开展一对一投资者交流会。</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炉边谈话</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日期：</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8</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18</w:t>
      </w:r>
      <w:r>
        <w:rPr>
          <w:rFonts w:eastAsia="Times New Roman;Times;Serif"/>
          <w:b w:val="false"/>
          <w:i w:val="false"/>
          <w:caps w:val="false"/>
          <w:smallCaps w:val="false"/>
          <w:sz w:val="20"/>
        </w:rPr>
        <w:t>日</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时间：北京时间上午</w:t>
      </w:r>
      <w:r>
        <w:rPr>
          <w:rFonts w:ascii="Times New Roman;Times;Serif" w:hAnsi="Times New Roman;Times;Serif"/>
          <w:b w:val="false"/>
          <w:i w:val="false"/>
          <w:caps w:val="false"/>
          <w:smallCaps w:val="false"/>
          <w:sz w:val="20"/>
        </w:rPr>
        <w:t>7:45–8:00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地点：上海浦东丽思卡尔顿酒店，大宴会厅</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厅和</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厅</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尊敬的投资人，如您有意与亚盛医药管理层会面交流，请联系您对应的</w:t>
      </w:r>
      <w:r>
        <w:rPr>
          <w:rFonts w:ascii="Times New Roman;Times;Serif" w:hAnsi="Times New Roman;Times;Serif"/>
          <w:b w:val="false"/>
          <w:i w:val="false"/>
          <w:caps w:val="false"/>
          <w:smallCaps w:val="false"/>
          <w:sz w:val="20"/>
        </w:rPr>
        <w:t>Evercore</w:t>
      </w:r>
      <w:r>
        <w:rPr>
          <w:rFonts w:eastAsia="Times New Roman;Times;Serif"/>
          <w:b w:val="false"/>
          <w:i w:val="false"/>
          <w:caps w:val="false"/>
          <w:smallCaps w:val="false"/>
          <w:sz w:val="20"/>
        </w:rPr>
        <w:t>客户代表。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14500"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14500" cy="647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关于亚盛医药</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亚盛医药（纳斯达克代码：</w:t>
      </w:r>
      <w:r>
        <w:rPr>
          <w:rFonts w:ascii="Times New Roman;Times;Serif" w:hAnsi="Times New Roman;Times;Serif"/>
          <w:b w:val="false"/>
          <w:i w:val="false"/>
          <w:caps w:val="false"/>
          <w:smallCaps w:val="false"/>
          <w:sz w:val="20"/>
        </w:rPr>
        <w:t>AAPG</w:t>
      </w:r>
      <w:r>
        <w:rPr>
          <w:rFonts w:eastAsia="Times New Roman;Times;Serif"/>
          <w:b w:val="false"/>
          <w:i w:val="false"/>
          <w:caps w:val="false"/>
          <w:smallCaps w:val="false"/>
          <w:sz w:val="20"/>
        </w:rPr>
        <w:t>；香港联交所代码：</w:t>
      </w:r>
      <w:r>
        <w:rPr>
          <w:rFonts w:ascii="Times New Roman;Times;Serif" w:hAnsi="Times New Roman;Times;Serif"/>
          <w:b w:val="false"/>
          <w:i w:val="false"/>
          <w:caps w:val="false"/>
          <w:smallCaps w:val="false"/>
          <w:sz w:val="20"/>
        </w:rPr>
        <w:t>6855</w:t>
      </w:r>
      <w:r>
        <w:rPr>
          <w:rFonts w:eastAsia="Times New Roman;Times;Serif"/>
          <w:b w:val="false"/>
          <w:i w:val="false"/>
          <w:caps w:val="false"/>
          <w:smallCaps w:val="false"/>
          <w:sz w:val="20"/>
        </w:rPr>
        <w:t>）是一家综合性的全球生物医药企业，致力于研发、生产和商业化创新药，以解决肿瘤领域全球患者尚未满足的临床需求。公司已建立丰富的创新药产品管线，包括抑制</w:t>
      </w:r>
      <w:r>
        <w:rPr>
          <w:rFonts w:ascii="Times New Roman;Times;Serif" w:hAnsi="Times New Roman;Times;Serif"/>
          <w:b w:val="false"/>
          <w:i w:val="false"/>
          <w:caps w:val="false"/>
          <w:smallCaps w:val="false"/>
          <w:sz w:val="20"/>
        </w:rPr>
        <w:t>Bcl-2</w:t>
      </w:r>
      <w:r>
        <w:rPr>
          <w:rFonts w:eastAsia="Times New Roman;Times;Serif"/>
          <w:b w:val="false"/>
          <w:i w:val="false"/>
          <w:caps w:val="false"/>
          <w:smallCaps w:val="false"/>
          <w:sz w:val="20"/>
        </w:rPr>
        <w:t xml:space="preserve">和 </w:t>
      </w:r>
      <w:r>
        <w:rPr>
          <w:rFonts w:ascii="Times New Roman;Times;Serif" w:hAnsi="Times New Roman;Times;Serif"/>
          <w:b w:val="false"/>
          <w:i w:val="false"/>
          <w:caps w:val="false"/>
          <w:smallCaps w:val="false"/>
          <w:sz w:val="20"/>
        </w:rPr>
        <w:t xml:space="preserve">MDM2-p53 </w:t>
      </w:r>
      <w:r>
        <w:rPr>
          <w:rFonts w:eastAsia="Times New Roman;Times;Serif"/>
          <w:b w:val="false"/>
          <w:i w:val="false"/>
          <w:caps w:val="false"/>
          <w:smallCaps w:val="false"/>
          <w:sz w:val="20"/>
        </w:rPr>
        <w:t>等细胞凋亡通路关键蛋白的抑制剂、新一代针对癌症治疗中出现的激酶突变体的抑制剂以及蛋白降解剂。</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公司核心品种耐立克</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是中国首个获批上市的第三代</w:t>
      </w:r>
      <w:r>
        <w:rPr>
          <w:rFonts w:ascii="Times New Roman;Times;Serif" w:hAnsi="Times New Roman;Times;Serif"/>
          <w:b w:val="false"/>
          <w:i w:val="false"/>
          <w:caps w:val="false"/>
          <w:smallCaps w:val="false"/>
          <w:sz w:val="20"/>
        </w:rPr>
        <w:t>BCR-ABL</w:t>
      </w:r>
      <w:r>
        <w:rPr>
          <w:rFonts w:eastAsia="Times New Roman;Times;Serif"/>
          <w:b w:val="false"/>
          <w:i w:val="false"/>
          <w:caps w:val="false"/>
          <w:smallCaps w:val="false"/>
          <w:sz w:val="20"/>
        </w:rPr>
        <w:t>抑制剂，已获批用于治疗伴有</w:t>
      </w:r>
      <w:r>
        <w:rPr>
          <w:rFonts w:ascii="Times New Roman;Times;Serif" w:hAnsi="Times New Roman;Times;Serif"/>
          <w:b w:val="false"/>
          <w:i w:val="false"/>
          <w:caps w:val="false"/>
          <w:smallCaps w:val="false"/>
          <w:sz w:val="20"/>
        </w:rPr>
        <w:t>T315I</w:t>
      </w:r>
      <w:r>
        <w:rPr>
          <w:rFonts w:eastAsia="Times New Roman;Times;Serif"/>
          <w:b w:val="false"/>
          <w:i w:val="false"/>
          <w:caps w:val="false"/>
          <w:smallCaps w:val="false"/>
          <w:sz w:val="20"/>
        </w:rPr>
        <w:t>突变的慢性髓细胞白血病慢性期（</w:t>
      </w:r>
      <w:r>
        <w:rPr>
          <w:rFonts w:ascii="Times New Roman;Times;Serif" w:hAnsi="Times New Roman;Times;Serif"/>
          <w:b w:val="false"/>
          <w:i w:val="false"/>
          <w:caps w:val="false"/>
          <w:smallCaps w:val="false"/>
          <w:sz w:val="20"/>
        </w:rPr>
        <w:t>CML-CP</w:t>
      </w:r>
      <w:r>
        <w:rPr>
          <w:rFonts w:eastAsia="Times New Roman;Times;Serif"/>
          <w:b w:val="false"/>
          <w:i w:val="false"/>
          <w:caps w:val="false"/>
          <w:smallCaps w:val="false"/>
          <w:sz w:val="20"/>
        </w:rPr>
        <w:t>）和加速期（</w:t>
      </w:r>
      <w:r>
        <w:rPr>
          <w:rFonts w:ascii="Times New Roman;Times;Serif" w:hAnsi="Times New Roman;Times;Serif"/>
          <w:b w:val="false"/>
          <w:i w:val="false"/>
          <w:caps w:val="false"/>
          <w:smallCaps w:val="false"/>
          <w:sz w:val="20"/>
        </w:rPr>
        <w:t>CML-AP</w:t>
      </w:r>
      <w:r>
        <w:rPr>
          <w:rFonts w:eastAsia="Times New Roman;Times;Serif"/>
          <w:b w:val="false"/>
          <w:i w:val="false"/>
          <w:caps w:val="false"/>
          <w:smallCaps w:val="false"/>
          <w:sz w:val="20"/>
        </w:rPr>
        <w:t>）患者，以及对一代和二代</w:t>
      </w:r>
      <w:r>
        <w:rPr>
          <w:rFonts w:ascii="Times New Roman;Times;Serif" w:hAnsi="Times New Roman;Times;Serif"/>
          <w:b w:val="false"/>
          <w:i w:val="false"/>
          <w:caps w:val="false"/>
          <w:smallCaps w:val="false"/>
          <w:sz w:val="20"/>
        </w:rPr>
        <w:t>TKI</w:t>
      </w:r>
      <w:r>
        <w:rPr>
          <w:rFonts w:eastAsia="Times New Roman;Times;Serif"/>
          <w:b w:val="false"/>
          <w:i w:val="false"/>
          <w:caps w:val="false"/>
          <w:smallCaps w:val="false"/>
          <w:sz w:val="20"/>
        </w:rPr>
        <w:t>耐药和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或不耐受的</w:t>
      </w:r>
      <w:r>
        <w:rPr>
          <w:rFonts w:ascii="Times New Roman;Times;Serif" w:hAnsi="Times New Roman;Times;Serif"/>
          <w:b w:val="false"/>
          <w:i w:val="false"/>
          <w:caps w:val="false"/>
          <w:smallCaps w:val="false"/>
          <w:sz w:val="20"/>
        </w:rPr>
        <w:t>CML-CP</w:t>
      </w:r>
      <w:r>
        <w:rPr>
          <w:rFonts w:eastAsia="Times New Roman;Times;Serif"/>
          <w:b w:val="false"/>
          <w:i w:val="false"/>
          <w:caps w:val="false"/>
          <w:smallCaps w:val="false"/>
          <w:sz w:val="20"/>
        </w:rPr>
        <w:t>成年患者。该药物所有获批适应症均已被纳入中国国家医保药品目录（</w:t>
      </w:r>
      <w:r>
        <w:rPr>
          <w:rFonts w:ascii="Times New Roman;Times;Serif" w:hAnsi="Times New Roman;Times;Serif"/>
          <w:b w:val="false"/>
          <w:i w:val="false"/>
          <w:caps w:val="false"/>
          <w:smallCaps w:val="false"/>
          <w:sz w:val="20"/>
        </w:rPr>
        <w:t>NRDL</w:t>
      </w:r>
      <w:r>
        <w:rPr>
          <w:rFonts w:eastAsia="Times New Roman;Times;Serif"/>
          <w:b w:val="false"/>
          <w:i w:val="false"/>
          <w:caps w:val="false"/>
          <w:smallCaps w:val="false"/>
          <w:sz w:val="20"/>
        </w:rPr>
        <w:t>）。目前，亚盛医药正在开展耐立克</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三项全球注册</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期临床研究，分别为：获美国</w:t>
      </w:r>
      <w:r>
        <w:rPr>
          <w:rFonts w:ascii="Times New Roman;Times;Serif" w:hAnsi="Times New Roman;Times;Serif"/>
          <w:b w:val="false"/>
          <w:i w:val="false"/>
          <w:caps w:val="false"/>
          <w:smallCaps w:val="false"/>
          <w:sz w:val="20"/>
        </w:rPr>
        <w:t>FDA</w:t>
      </w:r>
      <w:r>
        <w:rPr>
          <w:rFonts w:eastAsia="Times New Roman;Times;Serif"/>
          <w:b w:val="false"/>
          <w:i w:val="false"/>
          <w:caps w:val="false"/>
          <w:smallCaps w:val="false"/>
          <w:sz w:val="20"/>
        </w:rPr>
        <w:t>和欧洲</w:t>
      </w:r>
      <w:r>
        <w:rPr>
          <w:rFonts w:ascii="Times New Roman;Times;Serif" w:hAnsi="Times New Roman;Times;Serif"/>
          <w:b w:val="false"/>
          <w:i w:val="false"/>
          <w:caps w:val="false"/>
          <w:smallCaps w:val="false"/>
          <w:sz w:val="20"/>
        </w:rPr>
        <w:t>EMA</w:t>
      </w:r>
      <w:r>
        <w:rPr>
          <w:rFonts w:eastAsia="Times New Roman;Times;Serif"/>
          <w:b w:val="false"/>
          <w:i w:val="false"/>
          <w:caps w:val="false"/>
          <w:smallCaps w:val="false"/>
          <w:sz w:val="20"/>
        </w:rPr>
        <w:t>许可的评估耐立克</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治疗新诊断费城染色体阳性急性淋巴细胞白血病（</w:t>
      </w:r>
      <w:r>
        <w:rPr>
          <w:rFonts w:ascii="Times New Roman;Times;Serif" w:hAnsi="Times New Roman;Times;Serif"/>
          <w:b w:val="false"/>
          <w:i w:val="false"/>
          <w:caps w:val="false"/>
          <w:smallCaps w:val="false"/>
          <w:sz w:val="20"/>
        </w:rPr>
        <w:t>Ph+ ALL</w:t>
      </w:r>
      <w:r>
        <w:rPr>
          <w:rFonts w:eastAsia="Times New Roman;Times;Serif"/>
          <w:b w:val="false"/>
          <w:i w:val="false"/>
          <w:caps w:val="false"/>
          <w:smallCaps w:val="false"/>
          <w:sz w:val="20"/>
        </w:rPr>
        <w:t>）患者</w:t>
      </w:r>
      <w:r>
        <w:rPr>
          <w:rFonts w:ascii="Times New Roman;Times;Serif" w:hAnsi="Times New Roman;Times;Serif"/>
          <w:b w:val="false"/>
          <w:i w:val="false"/>
          <w:caps w:val="false"/>
          <w:smallCaps w:val="false"/>
          <w:sz w:val="20"/>
        </w:rPr>
        <w:t>POLARIS-1</w:t>
      </w:r>
      <w:r>
        <w:rPr>
          <w:rFonts w:eastAsia="Times New Roman;Times;Serif"/>
          <w:b w:val="false"/>
          <w:i w:val="false"/>
          <w:caps w:val="false"/>
          <w:smallCaps w:val="false"/>
          <w:sz w:val="20"/>
        </w:rPr>
        <w:t>研究；获美国</w:t>
      </w:r>
      <w:r>
        <w:rPr>
          <w:rFonts w:ascii="Times New Roman;Times;Serif" w:hAnsi="Times New Roman;Times;Serif"/>
          <w:b w:val="false"/>
          <w:i w:val="false"/>
          <w:caps w:val="false"/>
          <w:smallCaps w:val="false"/>
          <w:sz w:val="20"/>
        </w:rPr>
        <w:t>FDA</w:t>
      </w:r>
      <w:r>
        <w:rPr>
          <w:rFonts w:eastAsia="Times New Roman;Times;Serif"/>
          <w:b w:val="false"/>
          <w:i w:val="false"/>
          <w:caps w:val="false"/>
          <w:smallCaps w:val="false"/>
          <w:sz w:val="20"/>
        </w:rPr>
        <w:t>和欧洲</w:t>
      </w:r>
      <w:r>
        <w:rPr>
          <w:rFonts w:ascii="Times New Roman;Times;Serif" w:hAnsi="Times New Roman;Times;Serif"/>
          <w:b w:val="false"/>
          <w:i w:val="false"/>
          <w:caps w:val="false"/>
          <w:smallCaps w:val="false"/>
          <w:sz w:val="20"/>
        </w:rPr>
        <w:t>EMA</w:t>
      </w:r>
      <w:r>
        <w:rPr>
          <w:rFonts w:eastAsia="Times New Roman;Times;Serif"/>
          <w:b w:val="false"/>
          <w:i w:val="false"/>
          <w:caps w:val="false"/>
          <w:smallCaps w:val="false"/>
          <w:sz w:val="20"/>
        </w:rPr>
        <w:t>许可的评估耐立克</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治疗经治</w:t>
      </w:r>
      <w:r>
        <w:rPr>
          <w:rFonts w:ascii="Times New Roman;Times;Serif" w:hAnsi="Times New Roman;Times;Serif"/>
          <w:b w:val="false"/>
          <w:i w:val="false"/>
          <w:caps w:val="false"/>
          <w:smallCaps w:val="false"/>
          <w:sz w:val="20"/>
        </w:rPr>
        <w:t>CML-CP</w:t>
      </w:r>
      <w:r>
        <w:rPr>
          <w:rFonts w:eastAsia="Times New Roman;Times;Serif"/>
          <w:b w:val="false"/>
          <w:i w:val="false"/>
          <w:caps w:val="false"/>
          <w:smallCaps w:val="false"/>
          <w:sz w:val="20"/>
        </w:rPr>
        <w:t>成年患者的</w:t>
      </w:r>
      <w:r>
        <w:rPr>
          <w:rFonts w:ascii="Times New Roman;Times;Serif" w:hAnsi="Times New Roman;Times;Serif"/>
          <w:b w:val="false"/>
          <w:i w:val="false"/>
          <w:caps w:val="false"/>
          <w:smallCaps w:val="false"/>
          <w:sz w:val="20"/>
        </w:rPr>
        <w:t>POLARIS-2</w:t>
      </w:r>
      <w:r>
        <w:rPr>
          <w:rFonts w:eastAsia="Times New Roman;Times;Serif"/>
          <w:b w:val="false"/>
          <w:i w:val="false"/>
          <w:caps w:val="false"/>
          <w:smallCaps w:val="false"/>
          <w:sz w:val="20"/>
        </w:rPr>
        <w:t>研究；评估耐立克</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治疗</w:t>
      </w:r>
      <w:r>
        <w:rPr>
          <w:rFonts w:ascii="Times New Roman;Times;Serif" w:hAnsi="Times New Roman;Times;Serif"/>
          <w:b w:val="false"/>
          <w:i w:val="false"/>
          <w:caps w:val="false"/>
          <w:smallCaps w:val="false"/>
          <w:sz w:val="20"/>
        </w:rPr>
        <w:t>SDH-</w:t>
      </w:r>
      <w:r>
        <w:rPr>
          <w:rFonts w:eastAsia="Times New Roman;Times;Serif"/>
          <w:b w:val="false"/>
          <w:i w:val="false"/>
          <w:caps w:val="false"/>
          <w:smallCaps w:val="false"/>
          <w:sz w:val="20"/>
        </w:rPr>
        <w:t>缺陷型</w:t>
      </w:r>
      <w:r>
        <w:rPr>
          <w:rFonts w:ascii="Times New Roman;Times;Serif" w:hAnsi="Times New Roman;Times;Serif"/>
          <w:b w:val="false"/>
          <w:i w:val="false"/>
          <w:caps w:val="false"/>
          <w:smallCaps w:val="false"/>
          <w:sz w:val="20"/>
        </w:rPr>
        <w:t>GIST</w:t>
      </w:r>
      <w:r>
        <w:rPr>
          <w:rFonts w:eastAsia="Times New Roman;Times;Serif"/>
          <w:b w:val="false"/>
          <w:i w:val="false"/>
          <w:caps w:val="false"/>
          <w:smallCaps w:val="false"/>
          <w:sz w:val="20"/>
        </w:rPr>
        <w:t>患者的</w:t>
      </w:r>
      <w:r>
        <w:rPr>
          <w:rFonts w:ascii="Times New Roman;Times;Serif" w:hAnsi="Times New Roman;Times;Serif"/>
          <w:b w:val="false"/>
          <w:i w:val="false"/>
          <w:caps w:val="false"/>
          <w:smallCaps w:val="false"/>
          <w:sz w:val="20"/>
        </w:rPr>
        <w:t>POLARIS-3</w:t>
      </w:r>
      <w:r>
        <w:rPr>
          <w:rFonts w:eastAsia="Times New Roman;Times;Serif"/>
          <w:b w:val="false"/>
          <w:i w:val="false"/>
          <w:caps w:val="false"/>
          <w:smallCaps w:val="false"/>
          <w:sz w:val="20"/>
        </w:rPr>
        <w:t>研究。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公司另一重磅品种利生妥</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是一款用于治疗多种血液系统恶性肿瘤的新型</w:t>
      </w:r>
      <w:r>
        <w:rPr>
          <w:rFonts w:ascii="Times New Roman;Times;Serif" w:hAnsi="Times New Roman;Times;Serif"/>
          <w:b w:val="false"/>
          <w:i w:val="false"/>
          <w:caps w:val="false"/>
          <w:smallCaps w:val="false"/>
          <w:sz w:val="20"/>
        </w:rPr>
        <w:t>Bcl-2</w:t>
      </w:r>
      <w:r>
        <w:rPr>
          <w:rFonts w:eastAsia="Times New Roman;Times;Serif"/>
          <w:b w:val="false"/>
          <w:i w:val="false"/>
          <w:caps w:val="false"/>
          <w:smallCaps w:val="false"/>
          <w:sz w:val="20"/>
        </w:rPr>
        <w:t>抑制剂。利生妥</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已获中国国家药品监督管理局（</w:t>
      </w:r>
      <w:r>
        <w:rPr>
          <w:rFonts w:ascii="Times New Roman;Times;Serif" w:hAnsi="Times New Roman;Times;Serif"/>
          <w:b w:val="false"/>
          <w:i w:val="false"/>
          <w:caps w:val="false"/>
          <w:smallCaps w:val="false"/>
          <w:sz w:val="20"/>
        </w:rPr>
        <w:t>NMPA</w:t>
      </w:r>
      <w:r>
        <w:rPr>
          <w:rFonts w:eastAsia="Times New Roman;Times;Serif"/>
          <w:b w:val="false"/>
          <w:i w:val="false"/>
          <w:caps w:val="false"/>
          <w:smallCaps w:val="false"/>
          <w:sz w:val="20"/>
        </w:rPr>
        <w:t>）批准，用于治疗既往至少接受过一种包括布鲁顿酪氨酸激酶（</w:t>
      </w:r>
      <w:r>
        <w:rPr>
          <w:rFonts w:ascii="Times New Roman;Times;Serif" w:hAnsi="Times New Roman;Times;Serif"/>
          <w:b w:val="false"/>
          <w:i w:val="false"/>
          <w:caps w:val="false"/>
          <w:smallCaps w:val="false"/>
          <w:sz w:val="20"/>
        </w:rPr>
        <w:t>BTK</w:t>
      </w:r>
      <w:r>
        <w:rPr>
          <w:rFonts w:eastAsia="Times New Roman;Times;Serif"/>
          <w:b w:val="false"/>
          <w:i w:val="false"/>
          <w:caps w:val="false"/>
          <w:smallCaps w:val="false"/>
          <w:sz w:val="20"/>
        </w:rPr>
        <w:t>）抑制剂在内的系统治疗的成人慢性淋巴细胞白血病</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小淋巴细胞淋巴瘤（</w:t>
      </w:r>
      <w:r>
        <w:rPr>
          <w:rFonts w:ascii="Times New Roman;Times;Serif" w:hAnsi="Times New Roman;Times;Serif"/>
          <w:b w:val="false"/>
          <w:i w:val="false"/>
          <w:caps w:val="false"/>
          <w:smallCaps w:val="false"/>
          <w:sz w:val="20"/>
        </w:rPr>
        <w:t>CLL/SLL</w:t>
      </w:r>
      <w:r>
        <w:rPr>
          <w:rFonts w:eastAsia="Times New Roman;Times;Serif"/>
          <w:b w:val="false"/>
          <w:i w:val="false"/>
          <w:caps w:val="false"/>
          <w:smallCaps w:val="false"/>
          <w:sz w:val="20"/>
        </w:rPr>
        <w:t>）患者。目前，亚盛医药正在开展利生妥</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四项全球注册</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期临床研究，分别为：获美国</w:t>
      </w:r>
      <w:r>
        <w:rPr>
          <w:rFonts w:ascii="Times New Roman;Times;Serif" w:hAnsi="Times New Roman;Times;Serif"/>
          <w:b w:val="false"/>
          <w:i w:val="false"/>
          <w:caps w:val="false"/>
          <w:smallCaps w:val="false"/>
          <w:sz w:val="20"/>
        </w:rPr>
        <w:t>FDA</w:t>
      </w:r>
      <w:r>
        <w:rPr>
          <w:rFonts w:eastAsia="Times New Roman;Times;Serif"/>
          <w:b w:val="false"/>
          <w:i w:val="false"/>
          <w:caps w:val="false"/>
          <w:smallCaps w:val="false"/>
          <w:sz w:val="20"/>
        </w:rPr>
        <w:t>和欧洲</w:t>
      </w:r>
      <w:r>
        <w:rPr>
          <w:rFonts w:ascii="Times New Roman;Times;Serif" w:hAnsi="Times New Roman;Times;Serif"/>
          <w:b w:val="false"/>
          <w:i w:val="false"/>
          <w:caps w:val="false"/>
          <w:smallCaps w:val="false"/>
          <w:sz w:val="20"/>
        </w:rPr>
        <w:t>EMA</w:t>
      </w:r>
      <w:r>
        <w:rPr>
          <w:rFonts w:eastAsia="Times New Roman;Times;Serif"/>
          <w:b w:val="false"/>
          <w:i w:val="false"/>
          <w:caps w:val="false"/>
          <w:smallCaps w:val="false"/>
          <w:sz w:val="20"/>
        </w:rPr>
        <w:t>许可的评估利生妥</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联合</w:t>
      </w:r>
      <w:r>
        <w:rPr>
          <w:rFonts w:ascii="Times New Roman;Times;Serif" w:hAnsi="Times New Roman;Times;Serif"/>
          <w:b w:val="false"/>
          <w:i w:val="false"/>
          <w:caps w:val="false"/>
          <w:smallCaps w:val="false"/>
          <w:sz w:val="20"/>
        </w:rPr>
        <w:t>BTK</w:t>
      </w:r>
      <w:r>
        <w:rPr>
          <w:rFonts w:eastAsia="Times New Roman;Times;Serif"/>
          <w:b w:val="false"/>
          <w:i w:val="false"/>
          <w:caps w:val="false"/>
          <w:smallCaps w:val="false"/>
          <w:sz w:val="20"/>
        </w:rPr>
        <w:t>抑制剂治疗既往接受</w:t>
      </w:r>
      <w:r>
        <w:rPr>
          <w:rFonts w:ascii="Times New Roman;Times;Serif" w:hAnsi="Times New Roman;Times;Serif"/>
          <w:b w:val="false"/>
          <w:i w:val="false"/>
          <w:caps w:val="false"/>
          <w:smallCaps w:val="false"/>
          <w:sz w:val="20"/>
        </w:rPr>
        <w:t>BTK</w:t>
      </w:r>
      <w:r>
        <w:rPr>
          <w:rFonts w:eastAsia="Times New Roman;Times;Serif"/>
          <w:b w:val="false"/>
          <w:i w:val="false"/>
          <w:caps w:val="false"/>
          <w:smallCaps w:val="false"/>
          <w:sz w:val="20"/>
        </w:rPr>
        <w:t>抑制剂治疗超过</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个月且应答不佳的</w:t>
      </w:r>
      <w:r>
        <w:rPr>
          <w:rFonts w:ascii="Times New Roman;Times;Serif" w:hAnsi="Times New Roman;Times;Serif"/>
          <w:b w:val="false"/>
          <w:i w:val="false"/>
          <w:caps w:val="false"/>
          <w:smallCaps w:val="false"/>
          <w:sz w:val="20"/>
        </w:rPr>
        <w:t>CLL/SLL</w:t>
      </w:r>
      <w:r>
        <w:rPr>
          <w:rFonts w:eastAsia="Times New Roman;Times;Serif"/>
          <w:b w:val="false"/>
          <w:i w:val="false"/>
          <w:caps w:val="false"/>
          <w:smallCaps w:val="false"/>
          <w:sz w:val="20"/>
        </w:rPr>
        <w:t>患者的</w:t>
      </w:r>
      <w:r>
        <w:rPr>
          <w:rFonts w:ascii="Times New Roman;Times;Serif" w:hAnsi="Times New Roman;Times;Serif"/>
          <w:b w:val="false"/>
          <w:i w:val="false"/>
          <w:caps w:val="false"/>
          <w:smallCaps w:val="false"/>
          <w:sz w:val="20"/>
        </w:rPr>
        <w:t>GLORA</w:t>
      </w:r>
      <w:r>
        <w:rPr>
          <w:rFonts w:eastAsia="Times New Roman;Times;Serif"/>
          <w:b w:val="false"/>
          <w:i w:val="false"/>
          <w:caps w:val="false"/>
          <w:smallCaps w:val="false"/>
          <w:sz w:val="20"/>
        </w:rPr>
        <w:t>研究；评估利生妥</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一线治疗初治</w:t>
      </w:r>
      <w:r>
        <w:rPr>
          <w:rFonts w:ascii="Times New Roman;Times;Serif" w:hAnsi="Times New Roman;Times;Serif"/>
          <w:b w:val="false"/>
          <w:i w:val="false"/>
          <w:caps w:val="false"/>
          <w:smallCaps w:val="false"/>
          <w:sz w:val="20"/>
        </w:rPr>
        <w:t>CLL/SLL</w:t>
      </w:r>
      <w:r>
        <w:rPr>
          <w:rFonts w:eastAsia="Times New Roman;Times;Serif"/>
          <w:b w:val="false"/>
          <w:i w:val="false"/>
          <w:caps w:val="false"/>
          <w:smallCaps w:val="false"/>
          <w:sz w:val="20"/>
        </w:rPr>
        <w:t>患者的</w:t>
      </w:r>
      <w:r>
        <w:rPr>
          <w:rFonts w:ascii="Times New Roman;Times;Serif" w:hAnsi="Times New Roman;Times;Serif"/>
          <w:b w:val="false"/>
          <w:i w:val="false"/>
          <w:caps w:val="false"/>
          <w:smallCaps w:val="false"/>
          <w:sz w:val="20"/>
        </w:rPr>
        <w:t>GLORA-2</w:t>
      </w:r>
      <w:r>
        <w:rPr>
          <w:rFonts w:eastAsia="Times New Roman;Times;Serif"/>
          <w:b w:val="false"/>
          <w:i w:val="false"/>
          <w:caps w:val="false"/>
          <w:smallCaps w:val="false"/>
          <w:sz w:val="20"/>
        </w:rPr>
        <w:t>研究；评估利生妥</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一线治疗新诊断老年或不耐受的</w:t>
      </w:r>
      <w:r>
        <w:rPr>
          <w:rFonts w:ascii="Times New Roman;Times;Serif" w:hAnsi="Times New Roman;Times;Serif"/>
          <w:b w:val="false"/>
          <w:i w:val="false"/>
          <w:caps w:val="false"/>
          <w:smallCaps w:val="false"/>
          <w:sz w:val="20"/>
        </w:rPr>
        <w:t>AML</w:t>
      </w:r>
      <w:r>
        <w:rPr>
          <w:rFonts w:eastAsia="Times New Roman;Times;Serif"/>
          <w:b w:val="false"/>
          <w:i w:val="false"/>
          <w:caps w:val="false"/>
          <w:smallCaps w:val="false"/>
          <w:sz w:val="20"/>
        </w:rPr>
        <w:t>患者的</w:t>
      </w:r>
      <w:r>
        <w:rPr>
          <w:rFonts w:ascii="Times New Roman;Times;Serif" w:hAnsi="Times New Roman;Times;Serif"/>
          <w:b w:val="false"/>
          <w:i w:val="false"/>
          <w:caps w:val="false"/>
          <w:smallCaps w:val="false"/>
          <w:sz w:val="20"/>
        </w:rPr>
        <w:t>GLORA-3</w:t>
      </w:r>
      <w:r>
        <w:rPr>
          <w:rFonts w:eastAsia="Times New Roman;Times;Serif"/>
          <w:b w:val="false"/>
          <w:i w:val="false"/>
          <w:caps w:val="false"/>
          <w:smallCaps w:val="false"/>
          <w:sz w:val="20"/>
        </w:rPr>
        <w:t>研究；以及获美国</w:t>
      </w:r>
      <w:r>
        <w:rPr>
          <w:rFonts w:ascii="Times New Roman;Times;Serif" w:hAnsi="Times New Roman;Times;Serif"/>
          <w:b w:val="false"/>
          <w:i w:val="false"/>
          <w:caps w:val="false"/>
          <w:smallCaps w:val="false"/>
          <w:sz w:val="20"/>
        </w:rPr>
        <w:t>FDA</w:t>
      </w:r>
      <w:r>
        <w:rPr>
          <w:rFonts w:eastAsia="Times New Roman;Times;Serif"/>
          <w:b w:val="false"/>
          <w:i w:val="false"/>
          <w:caps w:val="false"/>
          <w:smallCaps w:val="false"/>
          <w:sz w:val="20"/>
        </w:rPr>
        <w:t>和欧洲</w:t>
      </w:r>
      <w:r>
        <w:rPr>
          <w:rFonts w:ascii="Times New Roman;Times;Serif" w:hAnsi="Times New Roman;Times;Serif"/>
          <w:b w:val="false"/>
          <w:i w:val="false"/>
          <w:caps w:val="false"/>
          <w:smallCaps w:val="false"/>
          <w:sz w:val="20"/>
        </w:rPr>
        <w:t>EMA</w:t>
      </w:r>
      <w:r>
        <w:rPr>
          <w:rFonts w:eastAsia="Times New Roman;Times;Serif"/>
          <w:b w:val="false"/>
          <w:i w:val="false"/>
          <w:caps w:val="false"/>
          <w:smallCaps w:val="false"/>
          <w:sz w:val="20"/>
        </w:rPr>
        <w:t>许可的评估利生妥</w:t>
      </w:r>
      <w:r>
        <w:rPr>
          <w:rFonts w:ascii="Times New Roman;Times;Serif" w:hAnsi="Times New Roman;Times;Serif"/>
          <w:b w:val="false"/>
          <w:i w:val="false"/>
          <w:caps w:val="false"/>
          <w:smallCaps w:val="false"/>
          <w:position w:val="7"/>
          <w:sz w:val="16"/>
          <w:sz w:val="20"/>
        </w:rPr>
        <w:t>®</w:t>
      </w:r>
      <w:r>
        <w:rPr>
          <w:rFonts w:eastAsia="Times New Roman;Times;Serif"/>
          <w:b w:val="false"/>
          <w:i w:val="false"/>
          <w:caps w:val="false"/>
          <w:smallCaps w:val="false"/>
          <w:sz w:val="20"/>
        </w:rPr>
        <w:t xml:space="preserve">一线治疗新诊断中高危 </w:t>
      </w:r>
      <w:r>
        <w:rPr>
          <w:rFonts w:ascii="Times New Roman;Times;Serif" w:hAnsi="Times New Roman;Times;Serif"/>
          <w:b w:val="false"/>
          <w:i w:val="false"/>
          <w:caps w:val="false"/>
          <w:smallCaps w:val="false"/>
          <w:sz w:val="20"/>
        </w:rPr>
        <w:t>MDS</w:t>
      </w:r>
      <w:r>
        <w:rPr>
          <w:rFonts w:eastAsia="Times New Roman;Times;Serif"/>
          <w:b w:val="false"/>
          <w:i w:val="false"/>
          <w:caps w:val="false"/>
          <w:smallCaps w:val="false"/>
          <w:sz w:val="20"/>
        </w:rPr>
        <w:t>患者的</w:t>
      </w:r>
      <w:r>
        <w:rPr>
          <w:rFonts w:ascii="Times New Roman;Times;Serif" w:hAnsi="Times New Roman;Times;Serif"/>
          <w:b w:val="false"/>
          <w:i w:val="false"/>
          <w:caps w:val="false"/>
          <w:smallCaps w:val="false"/>
          <w:sz w:val="20"/>
        </w:rPr>
        <w:t>GLORA-4</w:t>
      </w:r>
      <w:r>
        <w:rPr>
          <w:rFonts w:eastAsia="Times New Roman;Times;Serif"/>
          <w:b w:val="false"/>
          <w:i w:val="false"/>
          <w:caps w:val="false"/>
          <w:smallCaps w:val="false"/>
          <w:sz w:val="20"/>
        </w:rPr>
        <w:t>研究。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14500" cy="64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0" cy="647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凭借强大的研发能力，亚盛医药已在全球范围内进行知识产权布局，并与武田、阿斯利康、默沙东、辉瑞、信达等众多领先的生物制药公司达成全球合作，同时与丹娜法伯癌症研究院、梅奥医学中心、美国国家癌症研究所和密西根大学等学术机构建立研发合作关系。如需了解更多信息，请访问 </w:t>
      </w:r>
      <w:r>
        <w:rPr>
          <w:rFonts w:ascii="Times New Roman;Times;Serif" w:hAnsi="Times New Roman;Times;Serif"/>
          <w:b w:val="false"/>
          <w:i w:val="false"/>
          <w:caps w:val="false"/>
          <w:smallCaps w:val="false"/>
          <w:sz w:val="20"/>
        </w:rPr>
        <w:t>https://ascentage.com/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i w:val="false"/>
          <w:caps w:val="false"/>
          <w:smallCaps w:val="false"/>
          <w:sz w:val="20"/>
        </w:rPr>
      </w:pPr>
      <w:r>
        <w:rPr>
          <w:rFonts w:eastAsia="Times New Roman;Times;Serif"/>
          <w:b/>
          <w:i w:val="false"/>
          <w:caps w:val="false"/>
          <w:smallCaps w:val="false"/>
          <w:sz w:val="20"/>
        </w:rPr>
        <w:t>前瞻性声明</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本新闻稿包含根据美国《</w:t>
      </w:r>
      <w:r>
        <w:rPr>
          <w:rFonts w:ascii="Times New Roman;Times;Serif" w:hAnsi="Times New Roman;Times;Serif"/>
          <w:b w:val="false"/>
          <w:i w:val="false"/>
          <w:caps w:val="false"/>
          <w:smallCaps w:val="false"/>
          <w:sz w:val="20"/>
        </w:rPr>
        <w:t>1995</w:t>
      </w:r>
      <w:r>
        <w:rPr>
          <w:rFonts w:eastAsia="Times New Roman;Times;Serif"/>
          <w:b w:val="false"/>
          <w:i w:val="false"/>
          <w:caps w:val="false"/>
          <w:smallCaps w:val="false"/>
          <w:sz w:val="20"/>
        </w:rPr>
        <w:t>年私人证券诉讼改革法案》，以及经修订的《</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年证券法》第</w:t>
      </w:r>
      <w:r>
        <w:rPr>
          <w:rFonts w:ascii="Times New Roman;Times;Serif" w:hAnsi="Times New Roman;Times;Serif"/>
          <w:b w:val="false"/>
          <w:i w:val="false"/>
          <w:caps w:val="false"/>
          <w:smallCaps w:val="false"/>
          <w:sz w:val="20"/>
        </w:rPr>
        <w:t>27A</w:t>
      </w:r>
      <w:r>
        <w:rPr>
          <w:rFonts w:eastAsia="Times New Roman;Times;Serif"/>
          <w:b w:val="false"/>
          <w:i w:val="false"/>
          <w:caps w:val="false"/>
          <w:smallCaps w:val="false"/>
          <w:sz w:val="20"/>
        </w:rPr>
        <w:t>条和《</w:t>
      </w:r>
      <w:r>
        <w:rPr>
          <w:rFonts w:ascii="Times New Roman;Times;Serif" w:hAnsi="Times New Roman;Times;Serif"/>
          <w:b w:val="false"/>
          <w:i w:val="false"/>
          <w:caps w:val="false"/>
          <w:smallCaps w:val="false"/>
          <w:sz w:val="20"/>
        </w:rPr>
        <w:t>1934</w:t>
      </w:r>
      <w:r>
        <w:rPr>
          <w:rFonts w:eastAsia="Times New Roman;Times;Serif"/>
          <w:b w:val="false"/>
          <w:i w:val="false"/>
          <w:caps w:val="false"/>
          <w:smallCaps w:val="false"/>
          <w:sz w:val="20"/>
        </w:rPr>
        <w:t>年证券交易法》第</w:t>
      </w:r>
      <w:r>
        <w:rPr>
          <w:rFonts w:ascii="Times New Roman;Times;Serif" w:hAnsi="Times New Roman;Times;Serif"/>
          <w:b w:val="false"/>
          <w:i w:val="false"/>
          <w:caps w:val="false"/>
          <w:smallCaps w:val="false"/>
          <w:sz w:val="20"/>
        </w:rPr>
        <w:t>21E</w:t>
      </w:r>
      <w:r>
        <w:rPr>
          <w:rFonts w:eastAsia="Times New Roman;Times;Serif"/>
          <w:b w:val="false"/>
          <w:i w:val="false"/>
          <w:caps w:val="false"/>
          <w:smallCaps w:val="false"/>
          <w:sz w:val="20"/>
        </w:rPr>
        <w:t>条所界定的前瞻性陈述。除历史事实陈述外，本新闻稿中的所有内容均可能构成前瞻性陈述，包括亚盛医药对未来事件、经营成果或财务状况所发表的意见、预期、信念、计划、目标、假设或预测。</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这些前瞻性陈述受到诸多风险和不确定性的影响，具体内容已在亚盛医药向美国证券交易委员会（</w:t>
      </w:r>
      <w:r>
        <w:rPr>
          <w:rFonts w:ascii="Times New Roman;Times;Serif" w:hAnsi="Times New Roman;Times;Serif"/>
          <w:b w:val="false"/>
          <w:i w:val="false"/>
          <w:caps w:val="false"/>
          <w:smallCaps w:val="false"/>
          <w:sz w:val="20"/>
        </w:rPr>
        <w:t>SEC</w:t>
      </w:r>
      <w:r>
        <w:rPr>
          <w:rFonts w:eastAsia="Times New Roman;Times;Serif"/>
          <w:b w:val="false"/>
          <w:i w:val="false"/>
          <w:caps w:val="false"/>
          <w:smallCaps w:val="false"/>
          <w:sz w:val="20"/>
        </w:rPr>
        <w:t>）提交的文件中详细说明，包括</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29</w:t>
      </w:r>
      <w:r>
        <w:rPr>
          <w:rFonts w:eastAsia="Times New Roman;Times;Serif"/>
          <w:b w:val="false"/>
          <w:i w:val="false"/>
          <w:caps w:val="false"/>
          <w:smallCaps w:val="false"/>
          <w:sz w:val="20"/>
        </w:rPr>
        <w:t>日提交的</w:t>
      </w:r>
      <w:r>
        <w:rPr>
          <w:rFonts w:ascii="Times New Roman;Times;Serif" w:hAnsi="Times New Roman;Times;Serif"/>
          <w:b w:val="false"/>
          <w:i w:val="false"/>
          <w:caps w:val="false"/>
          <w:smallCaps w:val="false"/>
          <w:sz w:val="20"/>
        </w:rPr>
        <w:t>20-F</w:t>
      </w:r>
      <w:r>
        <w:rPr>
          <w:rFonts w:eastAsia="Times New Roman;Times;Serif"/>
          <w:b w:val="false"/>
          <w:i w:val="false"/>
          <w:caps w:val="false"/>
          <w:smallCaps w:val="false"/>
          <w:sz w:val="20"/>
        </w:rPr>
        <w:t>表格中截止</w:t>
      </w:r>
      <w:r>
        <w:rPr>
          <w:rFonts w:ascii="Times New Roman;Times;Serif" w:hAnsi="Times New Roman;Times;Serif"/>
          <w:b w:val="false"/>
          <w:i w:val="false"/>
          <w:caps w:val="false"/>
          <w:smallCaps w:val="false"/>
          <w:sz w:val="20"/>
        </w:rPr>
        <w:t>2025</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31</w:t>
      </w:r>
      <w:r>
        <w:rPr>
          <w:rFonts w:eastAsia="Times New Roman;Times;Serif"/>
          <w:b w:val="false"/>
          <w:i w:val="false"/>
          <w:caps w:val="false"/>
          <w:smallCaps w:val="false"/>
          <w:sz w:val="20"/>
        </w:rPr>
        <w:t>日的年度报告中的”风险因素”和”关于前瞻性声明的警示声明”章节，</w:t>
      </w:r>
      <w:r>
        <w:rPr>
          <w:rFonts w:ascii="Times New Roman;Times;Serif" w:hAnsi="Times New Roman;Times;Serif"/>
          <w:b w:val="false"/>
          <w:i w:val="false"/>
          <w:caps w:val="false"/>
          <w:smallCaps w:val="false"/>
          <w:sz w:val="20"/>
        </w:rPr>
        <w:t>2019</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10</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16</w:t>
      </w:r>
      <w:r>
        <w:rPr>
          <w:rFonts w:eastAsia="Times New Roman;Times;Serif"/>
          <w:b w:val="false"/>
          <w:i w:val="false"/>
          <w:caps w:val="false"/>
          <w:smallCaps w:val="false"/>
          <w:sz w:val="20"/>
        </w:rPr>
        <w:t>日提交的首次发行上市招股书中的“前瞻性声明”、“风险因素”章节，以及我们不时向</w:t>
      </w:r>
      <w:r>
        <w:rPr>
          <w:rFonts w:ascii="Times New Roman;Times;Serif" w:hAnsi="Times New Roman;Times;Serif"/>
          <w:b w:val="false"/>
          <w:i w:val="false"/>
          <w:caps w:val="false"/>
          <w:smallCaps w:val="false"/>
          <w:sz w:val="20"/>
        </w:rPr>
        <w:t>SEC</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HKEX</w:t>
      </w:r>
      <w:r>
        <w:rPr>
          <w:rFonts w:eastAsia="Times New Roman;Times;Serif"/>
          <w:b w:val="false"/>
          <w:i w:val="false"/>
          <w:caps w:val="false"/>
          <w:smallCaps w:val="false"/>
          <w:sz w:val="20"/>
        </w:rPr>
        <w:t>提交的其他文件。这些因素可能导致实际业绩、运营水平、经营成果或成就与前瞻性陈述中明示或暗示的信息存在重大差异。本前瞻性声明中的陈述不构成公司管理层的利润预测。</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因此，该等前瞻性陈述不应被视为对未来事件的预测。本新闻稿中的前瞻性陈述仅基于亚盛医药当前对未来发展及其潜在影响的预期和判断，且仅代表截至陈述发表之日的观点。无论出现新信息、未来事件或其他情况，亚盛医药均无义务更新或修订任何前瞻性陈述。</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3738</Words>
  <Characters>14526</Characters>
  <CharactersWithSpaces>16727</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