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6919-6k_ascentage.htm"/>
      <w:bookmarkStart w:id="1" w:name="ksea03069196k_ascentage"/>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AND EXCHANGE COMMISSION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 xml:space="preserve">Washington, D.C. 20549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 xml:space="preserve">Form 6-K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month of </w:t>
      </w:r>
      <w:r>
        <w:rPr>
          <w:rFonts w:ascii="Times New Roman;Times;Serif" w:hAnsi="Times New Roman;Times;Serif"/>
          <w:b/>
          <w:i w:val="false"/>
          <w:caps w:val="false"/>
          <w:smallCaps w:val="false"/>
          <w:sz w:val="20"/>
        </w:rPr>
        <w:t>September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001-42484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ASCENTAGE PHARMA GROUP INTERNATIONAL</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68 Xinqing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Suzhou Industrial Park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Suzhou, Jiangsu</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28, 2026, Ascentage Pharma Group International (“Ascentage Pharma” or the “Company”) posted two announcements on the Hong Kong Stock Exchange entitled, “PURCHASE OF SHARES BY THE TRUSTEE FOR THE PURPOSE OF THE 2022 RSU SCHEME” and “ACQUISITION OF SHARES BY THE CHAIRMAN AND EXECUTIVE DIRECTOR A copy of the announcements are furnished as Exhibits 99.1 and 99.2 to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EXHIBITS</w:t>
      </w:r>
    </w:p>
    <w:p>
      <w:pPr>
        <w:pStyle w:val="TextBody"/>
        <w:bidi w:val="0"/>
        <w:spacing w:before="0" w:after="0"/>
        <w:ind w:left="0" w:right="0" w:hanging="0"/>
        <w:jc w:val="center"/>
        <w:rPr>
          <w:caps w:val="false"/>
          <w:smallCaps w:val="false"/>
        </w:rPr>
      </w:pPr>
      <w:r>
        <w:rPr>
          <w:caps w:val="false"/>
          <w:smallCaps w:val="false"/>
        </w:rPr>
        <w:t> </w:t>
      </w:r>
    </w:p>
    <w:tbl>
      <w:tblPr>
        <w:tblW w:w="5875" w:type="dxa"/>
        <w:jc w:val="left"/>
        <w:tblInd w:w="0" w:type="dxa"/>
        <w:tblLayout w:type="fixed"/>
        <w:tblCellMar>
          <w:top w:w="0" w:type="dxa"/>
          <w:left w:w="0" w:type="dxa"/>
          <w:bottom w:w="28" w:type="dxa"/>
          <w:right w:w="0" w:type="dxa"/>
        </w:tblCellMar>
      </w:tblPr>
      <w:tblGrid>
        <w:gridCol w:w="770"/>
        <w:gridCol w:w="60"/>
        <w:gridCol w:w="5045"/>
      </w:tblGrid>
      <w:tr>
        <w:trPr/>
        <w:tc>
          <w:tcPr>
            <w:tcW w:w="770"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Exhibit</w:t>
              <w:br/>
              <w:t>Number</w:t>
            </w:r>
            <w:r>
              <w:rPr>
                <w:rFonts w:ascii="Times New Roman;Times;Serif" w:hAnsi="Times New Roman;Times;Serif"/>
                <w:b w:val="false"/>
                <w:i w:val="false"/>
                <w:caps w:val="false"/>
                <w:smallCaps w:val="false"/>
                <w:sz w:val="20"/>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45"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Title</w:t>
            </w:r>
          </w:p>
        </w:tc>
      </w:tr>
      <w:tr>
        <w:trPr/>
        <w:tc>
          <w:tcPr>
            <w:tcW w:w="7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45" w:type="dxa"/>
            <w:tcBorders/>
            <w:shd w:fill="CCEEFF" w:val="clear"/>
            <w:tcMar>
              <w:bottom w:w="0" w:type="dxa"/>
            </w:tcMar>
            <w:vAlign w:val="center"/>
          </w:tcPr>
          <w:p>
            <w:pPr>
              <w:pStyle w:val="TableContents"/>
              <w:bidi w:val="0"/>
              <w:spacing w:before="0" w:after="283"/>
              <w:jc w:val="left"/>
              <w:rPr/>
            </w:pPr>
            <w:hyperlink w:anchor="ea030691901ex99-1.htm">
              <w:r>
                <w:rPr>
                  <w:rStyle w:val="InternetLink"/>
                  <w:rFonts w:ascii="Times New Roman;Times;Serif" w:hAnsi="Times New Roman;Times;Serif"/>
                  <w:b w:val="false"/>
                  <w:i w:val="false"/>
                  <w:caps w:val="false"/>
                  <w:smallCaps w:val="false"/>
                  <w:sz w:val="20"/>
                </w:rPr>
                <w:t>RSU Purchase Announcement dated September 28, 2026</w:t>
              </w:r>
            </w:hyperlink>
          </w:p>
        </w:tc>
      </w:tr>
      <w:tr>
        <w:trPr/>
        <w:tc>
          <w:tcPr>
            <w:tcW w:w="77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45" w:type="dxa"/>
            <w:tcBorders/>
            <w:shd w:fill="FFFFFF" w:val="clear"/>
            <w:tcMar>
              <w:bottom w:w="0" w:type="dxa"/>
            </w:tcMar>
            <w:vAlign w:val="center"/>
          </w:tcPr>
          <w:p>
            <w:pPr>
              <w:pStyle w:val="TableContents"/>
              <w:bidi w:val="0"/>
              <w:spacing w:before="0" w:after="283"/>
              <w:jc w:val="left"/>
              <w:rPr/>
            </w:pPr>
            <w:hyperlink w:anchor="ea030691901ex99-2.htm">
              <w:r>
                <w:rPr>
                  <w:rStyle w:val="InternetLink"/>
                  <w:rFonts w:ascii="Times New Roman;Times;Serif" w:hAnsi="Times New Roman;Times;Serif"/>
                  <w:b w:val="false"/>
                  <w:i w:val="false"/>
                  <w:caps w:val="false"/>
                  <w:smallCaps w:val="false"/>
                  <w:sz w:val="20"/>
                </w:rPr>
                <w:t>Chairman Purchase Announcement dated September 28,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699" w:type="dxa"/>
        <w:jc w:val="left"/>
        <w:tblInd w:w="0" w:type="dxa"/>
        <w:tblLayout w:type="fixed"/>
        <w:tblCellMar>
          <w:top w:w="0" w:type="dxa"/>
          <w:left w:w="0" w:type="dxa"/>
          <w:bottom w:w="0" w:type="dxa"/>
          <w:right w:w="0" w:type="dxa"/>
        </w:tblCellMar>
      </w:tblPr>
      <w:tblGrid>
        <w:gridCol w:w="2135"/>
        <w:gridCol w:w="1058"/>
        <w:gridCol w:w="3506"/>
      </w:tblGrid>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456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ASCENTAGE PHARMA GROUP INTERNATIONAL</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456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2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28, 2026</w:t>
            </w:r>
          </w:p>
        </w:tc>
        <w:tc>
          <w:tcPr>
            <w:tcW w:w="4564"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Dajun Yang</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10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35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Dajun Yang</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10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5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691901ex99-1.htm"/>
      <w:bookmarkStart w:id="3" w:name="ksea0306919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409825" cy="76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09825" cy="76200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ASCENTAGE PHARMA GROUP INTERNATIONAL</w:t>
      </w:r>
    </w:p>
    <w:p>
      <w:pPr>
        <w:pStyle w:val="TextBody"/>
        <w:bidi w:val="0"/>
        <w:spacing w:before="0" w:after="0"/>
        <w:ind w:left="0" w:right="0" w:hanging="0"/>
        <w:jc w:val="center"/>
        <w:rPr>
          <w:rFonts w:eastAsia="Times New Roman;Times;Serif"/>
          <w:b/>
          <w:i w:val="false"/>
          <w:caps w:val="false"/>
          <w:smallCaps w:val="false"/>
          <w:sz w:val="20"/>
        </w:rPr>
      </w:pPr>
      <w:r>
        <w:rPr>
          <w:rFonts w:eastAsia="Times New Roman;Times;Serif"/>
          <w:b/>
          <w:i w:val="false"/>
          <w:caps w:val="false"/>
          <w:smallCaps w:val="false"/>
          <w:sz w:val="20"/>
        </w:rPr>
        <w:t>亞   盛   醫   藥    集    團</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(Incorporated in the Cayman Islands with limited liability)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Code: 6855)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VOLUNTARY ANNOUNCEMENT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 OF SHARES BY THE TRUSTEE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PURPOSE OF THE 2022 RSU SCHEME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is made by Ascentage Pharma Group International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on a voluntary basis. Reference is made to the announcements of the Company dated June 23, 2022, July 14, 2022, October 21, 2022, October 25, 2022, October 26, 2022, October 27, 2022, October 28, 2022, October 31, 2022, May 8, 2023, November 13, 2023, November 14, 2023, November 16, 2023, February 2, 2024, September 2, 2024, October 24, 2024, March 31, 2025, April 8, 2025, April 30, 2025, June 27, 2025, November 27, 2025, December 30, 2025, April 20, 2026, April 30, 2026, May 27, 2026, May 28, 2026, June 10, 2026, June 11, 2026, June 29, 2026, July 13, 2026 and September 17, 2026 (the “</w:t>
      </w:r>
      <w:r>
        <w:rPr>
          <w:rFonts w:ascii="Times New Roman;Times;Serif" w:hAnsi="Times New Roman;Times;Serif"/>
          <w:b/>
          <w:i w:val="false"/>
          <w:caps w:val="false"/>
          <w:smallCaps w:val="false"/>
          <w:sz w:val="20"/>
        </w:rPr>
        <w:t>Announcements</w:t>
      </w:r>
      <w:r>
        <w:rPr>
          <w:rFonts w:ascii="Times New Roman;Times;Serif" w:hAnsi="Times New Roman;Times;Serif"/>
          <w:b w:val="false"/>
          <w:i w:val="false"/>
          <w:caps w:val="false"/>
          <w:smallCaps w:val="false"/>
          <w:sz w:val="20"/>
        </w:rPr>
        <w:t>”) in relation to, among other things, (i) the adoption of and amendments to the 2022 RSU Scheme; (ii) the initial grant and the further grants of the 2022 Awards thereunder; and (iii) the purchase of existing Shares by the Trustee on-market for the purpose of the 2022 RSU Scheme. Unless otherwise defined, capitalized terms used herein shall have the same meanings as those defined in the Announcements.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28, 2026, the Trustee purchased a total of 50,000 existing Shares (the “</w:t>
      </w:r>
      <w:r>
        <w:rPr>
          <w:rFonts w:ascii="Times New Roman;Times;Serif" w:hAnsi="Times New Roman;Times;Serif"/>
          <w:b/>
          <w:i w:val="false"/>
          <w:caps w:val="false"/>
          <w:smallCaps w:val="false"/>
          <w:sz w:val="20"/>
        </w:rPr>
        <w:t>Purchased Shares</w:t>
      </w:r>
      <w:r>
        <w:rPr>
          <w:rFonts w:ascii="Times New Roman;Times;Serif" w:hAnsi="Times New Roman;Times;Serif"/>
          <w:b w:val="false"/>
          <w:i w:val="false"/>
          <w:caps w:val="false"/>
          <w:smallCaps w:val="false"/>
          <w:sz w:val="20"/>
        </w:rPr>
        <w:t>”) on-market for the purpose of the 2022 RSU Scheme to satisfy the RSUs upon vesting. Details of the Purchased Shares and the latest information about the Shares held by the Trustee under the Scheme are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109"/>
        <w:gridCol w:w="80"/>
        <w:gridCol w:w="2016"/>
      </w:tblGrid>
      <w:tr>
        <w:trPr/>
        <w:tc>
          <w:tcPr>
            <w:tcW w:w="8109" w:type="dxa"/>
            <w:tcBorders/>
            <w:vAlign w:val="center"/>
          </w:tcPr>
          <w:p>
            <w:pPr>
              <w:pStyle w:val="TableContents"/>
              <w:bidi w:val="0"/>
              <w:spacing w:before="0" w:after="283"/>
              <w:ind w:left="0" w:right="0" w:hanging="0"/>
              <w:jc w:val="both"/>
              <w:rPr/>
            </w:pPr>
            <w:r>
              <w:rPr/>
              <w:t>Purchase date</w:t>
            </w:r>
          </w:p>
        </w:tc>
        <w:tc>
          <w:tcPr>
            <w:tcW w:w="80" w:type="dxa"/>
            <w:tcBorders/>
            <w:vAlign w:val="center"/>
          </w:tcPr>
          <w:p>
            <w:pPr>
              <w:pStyle w:val="TableContents"/>
              <w:bidi w:val="0"/>
              <w:spacing w:before="0" w:after="283"/>
              <w:jc w:val="center"/>
              <w:rPr/>
            </w:pPr>
            <w:r>
              <w:rPr/>
              <w:t>:</w:t>
            </w:r>
          </w:p>
        </w:tc>
        <w:tc>
          <w:tcPr>
            <w:tcW w:w="2016" w:type="dxa"/>
            <w:tcBorders/>
            <w:vAlign w:val="center"/>
          </w:tcPr>
          <w:p>
            <w:pPr>
              <w:pStyle w:val="TableContents"/>
              <w:bidi w:val="0"/>
              <w:spacing w:before="0" w:after="283"/>
              <w:ind w:left="0" w:right="0" w:hanging="0"/>
              <w:jc w:val="left"/>
              <w:rPr/>
            </w:pPr>
            <w:r>
              <w:rPr/>
              <w:t>September 28, 2026</w:t>
            </w:r>
          </w:p>
        </w:tc>
      </w:tr>
      <w:tr>
        <w:trPr/>
        <w:tc>
          <w:tcPr>
            <w:tcW w:w="8109" w:type="dxa"/>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283"/>
              <w:jc w:val="center"/>
              <w:rPr/>
            </w:pPr>
            <w:r>
              <w:rPr/>
              <w:t> </w:t>
            </w:r>
          </w:p>
        </w:tc>
        <w:tc>
          <w:tcPr>
            <w:tcW w:w="2016" w:type="dxa"/>
            <w:tcBorders/>
            <w:vAlign w:val="center"/>
          </w:tcPr>
          <w:p>
            <w:pPr>
              <w:pStyle w:val="TableContents"/>
              <w:bidi w:val="0"/>
              <w:spacing w:before="0" w:after="283"/>
              <w:ind w:left="0" w:right="0" w:hanging="0"/>
              <w:jc w:val="left"/>
              <w:rPr/>
            </w:pPr>
            <w:r>
              <w:rPr/>
              <w:t> </w:t>
            </w:r>
          </w:p>
        </w:tc>
      </w:tr>
      <w:tr>
        <w:trPr/>
        <w:tc>
          <w:tcPr>
            <w:tcW w:w="8109" w:type="dxa"/>
            <w:tcBorders/>
            <w:vAlign w:val="center"/>
          </w:tcPr>
          <w:p>
            <w:pPr>
              <w:pStyle w:val="TableContents"/>
              <w:bidi w:val="0"/>
              <w:spacing w:before="0" w:after="283"/>
              <w:jc w:val="both"/>
              <w:rPr/>
            </w:pPr>
            <w:r>
              <w:rPr/>
              <w:t>Total number of the Purchased Shares</w:t>
            </w:r>
          </w:p>
        </w:tc>
        <w:tc>
          <w:tcPr>
            <w:tcW w:w="80" w:type="dxa"/>
            <w:tcBorders/>
            <w:vAlign w:val="center"/>
          </w:tcPr>
          <w:p>
            <w:pPr>
              <w:pStyle w:val="TableContents"/>
              <w:bidi w:val="0"/>
              <w:spacing w:before="0" w:after="283"/>
              <w:jc w:val="center"/>
              <w:rPr/>
            </w:pPr>
            <w:r>
              <w:rPr/>
              <w:t>:</w:t>
            </w:r>
          </w:p>
        </w:tc>
        <w:tc>
          <w:tcPr>
            <w:tcW w:w="2016" w:type="dxa"/>
            <w:tcBorders/>
            <w:vAlign w:val="center"/>
          </w:tcPr>
          <w:p>
            <w:pPr>
              <w:pStyle w:val="TableContents"/>
              <w:bidi w:val="0"/>
              <w:spacing w:before="0" w:after="283"/>
              <w:ind w:left="0" w:right="0" w:hanging="0"/>
              <w:jc w:val="left"/>
              <w:rPr/>
            </w:pPr>
            <w:r>
              <w:rPr/>
              <w:t>50,000 Shares</w:t>
            </w:r>
          </w:p>
        </w:tc>
      </w:tr>
      <w:tr>
        <w:trPr/>
        <w:tc>
          <w:tcPr>
            <w:tcW w:w="8109" w:type="dxa"/>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283"/>
              <w:jc w:val="center"/>
              <w:rPr/>
            </w:pPr>
            <w:r>
              <w:rPr/>
              <w:t> </w:t>
            </w:r>
          </w:p>
        </w:tc>
        <w:tc>
          <w:tcPr>
            <w:tcW w:w="2016" w:type="dxa"/>
            <w:tcBorders/>
            <w:vAlign w:val="center"/>
          </w:tcPr>
          <w:p>
            <w:pPr>
              <w:pStyle w:val="TableContents"/>
              <w:bidi w:val="0"/>
              <w:spacing w:before="0" w:after="283"/>
              <w:ind w:left="0" w:right="0" w:hanging="0"/>
              <w:jc w:val="left"/>
              <w:rPr/>
            </w:pPr>
            <w:r>
              <w:rPr/>
              <w:t> </w:t>
            </w:r>
          </w:p>
        </w:tc>
      </w:tr>
      <w:tr>
        <w:trPr/>
        <w:tc>
          <w:tcPr>
            <w:tcW w:w="8109" w:type="dxa"/>
            <w:tcBorders/>
            <w:vAlign w:val="center"/>
          </w:tcPr>
          <w:p>
            <w:pPr>
              <w:pStyle w:val="TableContents"/>
              <w:bidi w:val="0"/>
              <w:spacing w:before="0" w:after="283"/>
              <w:jc w:val="both"/>
              <w:rPr/>
            </w:pPr>
            <w:r>
              <w:rPr/>
              <w:t>Percentage of the Purchased Shares to the total number of issued Shares as at the date of this announcement</w:t>
            </w:r>
          </w:p>
        </w:tc>
        <w:tc>
          <w:tcPr>
            <w:tcW w:w="80" w:type="dxa"/>
            <w:tcBorders/>
            <w:vAlign w:val="center"/>
          </w:tcPr>
          <w:p>
            <w:pPr>
              <w:pStyle w:val="TableContents"/>
              <w:bidi w:val="0"/>
              <w:spacing w:before="0" w:after="283"/>
              <w:jc w:val="center"/>
              <w:rPr/>
            </w:pPr>
            <w:r>
              <w:rPr/>
              <w:t>:</w:t>
            </w:r>
          </w:p>
        </w:tc>
        <w:tc>
          <w:tcPr>
            <w:tcW w:w="2016" w:type="dxa"/>
            <w:tcBorders/>
            <w:vAlign w:val="center"/>
          </w:tcPr>
          <w:p>
            <w:pPr>
              <w:pStyle w:val="TableContents"/>
              <w:bidi w:val="0"/>
              <w:spacing w:before="0" w:after="283"/>
              <w:ind w:left="0" w:right="0" w:hanging="0"/>
              <w:jc w:val="left"/>
              <w:rPr/>
            </w:pPr>
            <w:r>
              <w:rPr/>
              <w:t>Approximately 0.01%</w:t>
            </w:r>
          </w:p>
        </w:tc>
      </w:tr>
      <w:tr>
        <w:trPr/>
        <w:tc>
          <w:tcPr>
            <w:tcW w:w="8109" w:type="dxa"/>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283"/>
              <w:jc w:val="center"/>
              <w:rPr/>
            </w:pPr>
            <w:r>
              <w:rPr/>
              <w:t> </w:t>
            </w:r>
          </w:p>
        </w:tc>
        <w:tc>
          <w:tcPr>
            <w:tcW w:w="2016" w:type="dxa"/>
            <w:tcBorders/>
            <w:vAlign w:val="center"/>
          </w:tcPr>
          <w:p>
            <w:pPr>
              <w:pStyle w:val="TableContents"/>
              <w:bidi w:val="0"/>
              <w:spacing w:before="0" w:after="283"/>
              <w:ind w:left="0" w:right="0" w:hanging="0"/>
              <w:jc w:val="left"/>
              <w:rPr/>
            </w:pPr>
            <w:r>
              <w:rPr/>
              <w:t> </w:t>
            </w:r>
          </w:p>
        </w:tc>
      </w:tr>
      <w:tr>
        <w:trPr/>
        <w:tc>
          <w:tcPr>
            <w:tcW w:w="8109" w:type="dxa"/>
            <w:tcBorders/>
            <w:vAlign w:val="center"/>
          </w:tcPr>
          <w:p>
            <w:pPr>
              <w:pStyle w:val="TableContents"/>
              <w:bidi w:val="0"/>
              <w:spacing w:before="0" w:after="283"/>
              <w:jc w:val="both"/>
              <w:rPr/>
            </w:pPr>
            <w:r>
              <w:rPr/>
              <w:t>Total consideration paid for the Purchased Shares (excluding all related expenses, transaction levy, brokerage, tax, duties and levies)</w:t>
            </w:r>
          </w:p>
        </w:tc>
        <w:tc>
          <w:tcPr>
            <w:tcW w:w="80" w:type="dxa"/>
            <w:tcBorders/>
            <w:vAlign w:val="center"/>
          </w:tcPr>
          <w:p>
            <w:pPr>
              <w:pStyle w:val="TableContents"/>
              <w:bidi w:val="0"/>
              <w:spacing w:before="0" w:after="283"/>
              <w:jc w:val="center"/>
              <w:rPr/>
            </w:pPr>
            <w:r>
              <w:rPr/>
              <w:t>:</w:t>
            </w:r>
          </w:p>
        </w:tc>
        <w:tc>
          <w:tcPr>
            <w:tcW w:w="2016" w:type="dxa"/>
            <w:tcBorders/>
            <w:vAlign w:val="center"/>
          </w:tcPr>
          <w:p>
            <w:pPr>
              <w:pStyle w:val="TableContents"/>
              <w:bidi w:val="0"/>
              <w:spacing w:before="0" w:after="283"/>
              <w:ind w:left="0" w:right="0" w:hanging="0"/>
              <w:jc w:val="left"/>
              <w:rPr/>
            </w:pPr>
            <w:r>
              <w:rPr/>
              <w:t>HK$1,428,000</w:t>
            </w:r>
          </w:p>
        </w:tc>
      </w:tr>
      <w:tr>
        <w:trPr/>
        <w:tc>
          <w:tcPr>
            <w:tcW w:w="8109" w:type="dxa"/>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283"/>
              <w:jc w:val="center"/>
              <w:rPr/>
            </w:pPr>
            <w:r>
              <w:rPr/>
              <w:t> </w:t>
            </w:r>
          </w:p>
        </w:tc>
        <w:tc>
          <w:tcPr>
            <w:tcW w:w="2016" w:type="dxa"/>
            <w:tcBorders/>
            <w:vAlign w:val="center"/>
          </w:tcPr>
          <w:p>
            <w:pPr>
              <w:pStyle w:val="TableContents"/>
              <w:bidi w:val="0"/>
              <w:spacing w:before="0" w:after="283"/>
              <w:ind w:left="0" w:right="0" w:hanging="0"/>
              <w:jc w:val="left"/>
              <w:rPr/>
            </w:pPr>
            <w:r>
              <w:rPr/>
              <w:t> </w:t>
            </w:r>
          </w:p>
        </w:tc>
      </w:tr>
      <w:tr>
        <w:trPr/>
        <w:tc>
          <w:tcPr>
            <w:tcW w:w="8109" w:type="dxa"/>
            <w:tcBorders/>
            <w:vAlign w:val="center"/>
          </w:tcPr>
          <w:p>
            <w:pPr>
              <w:pStyle w:val="TableContents"/>
              <w:bidi w:val="0"/>
              <w:spacing w:before="0" w:after="283"/>
              <w:jc w:val="both"/>
              <w:rPr/>
            </w:pPr>
            <w:r>
              <w:rPr/>
              <w:t>Average consideration per Purchased Share (excluding all related expenses, transaction levy, brokerage, tax, duties and levies)</w:t>
            </w:r>
          </w:p>
        </w:tc>
        <w:tc>
          <w:tcPr>
            <w:tcW w:w="80" w:type="dxa"/>
            <w:tcBorders/>
            <w:vAlign w:val="center"/>
          </w:tcPr>
          <w:p>
            <w:pPr>
              <w:pStyle w:val="TableContents"/>
              <w:bidi w:val="0"/>
              <w:spacing w:before="0" w:after="283"/>
              <w:jc w:val="center"/>
              <w:rPr/>
            </w:pPr>
            <w:r>
              <w:rPr/>
              <w:t>:</w:t>
            </w:r>
          </w:p>
        </w:tc>
        <w:tc>
          <w:tcPr>
            <w:tcW w:w="2016" w:type="dxa"/>
            <w:tcBorders/>
            <w:vAlign w:val="center"/>
          </w:tcPr>
          <w:p>
            <w:pPr>
              <w:pStyle w:val="TableContents"/>
              <w:bidi w:val="0"/>
              <w:spacing w:before="0" w:after="283"/>
              <w:ind w:left="0" w:right="0" w:hanging="0"/>
              <w:jc w:val="left"/>
              <w:rPr/>
            </w:pPr>
            <w:r>
              <w:rPr/>
              <w:t>Approximately HK$28.56</w:t>
            </w:r>
          </w:p>
        </w:tc>
      </w:tr>
      <w:tr>
        <w:trPr/>
        <w:tc>
          <w:tcPr>
            <w:tcW w:w="8109" w:type="dxa"/>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283"/>
              <w:jc w:val="center"/>
              <w:rPr/>
            </w:pPr>
            <w:r>
              <w:rPr/>
              <w:t> </w:t>
            </w:r>
          </w:p>
        </w:tc>
        <w:tc>
          <w:tcPr>
            <w:tcW w:w="2016" w:type="dxa"/>
            <w:tcBorders/>
            <w:vAlign w:val="center"/>
          </w:tcPr>
          <w:p>
            <w:pPr>
              <w:pStyle w:val="TableContents"/>
              <w:bidi w:val="0"/>
              <w:spacing w:before="0" w:after="283"/>
              <w:ind w:left="0" w:right="0" w:hanging="0"/>
              <w:jc w:val="left"/>
              <w:rPr/>
            </w:pPr>
            <w:r>
              <w:rPr/>
              <w:t> </w:t>
            </w:r>
          </w:p>
        </w:tc>
      </w:tr>
      <w:tr>
        <w:trPr/>
        <w:tc>
          <w:tcPr>
            <w:tcW w:w="8109" w:type="dxa"/>
            <w:tcBorders/>
            <w:vAlign w:val="center"/>
          </w:tcPr>
          <w:p>
            <w:pPr>
              <w:pStyle w:val="TableContents"/>
              <w:bidi w:val="0"/>
              <w:spacing w:before="0" w:after="283"/>
              <w:jc w:val="both"/>
              <w:rPr/>
            </w:pPr>
            <w:r>
              <w:rPr/>
              <w:t>Total number of existing Shares purchased by the Trustee on-market for the purpose of the 2022 RSU Scheme immediately after the aforesaid purchases</w:t>
            </w:r>
          </w:p>
        </w:tc>
        <w:tc>
          <w:tcPr>
            <w:tcW w:w="80" w:type="dxa"/>
            <w:tcBorders/>
            <w:vAlign w:val="center"/>
          </w:tcPr>
          <w:p>
            <w:pPr>
              <w:pStyle w:val="TableContents"/>
              <w:bidi w:val="0"/>
              <w:spacing w:before="0" w:after="283"/>
              <w:jc w:val="center"/>
              <w:rPr/>
            </w:pPr>
            <w:r>
              <w:rPr/>
              <w:t>:</w:t>
            </w:r>
          </w:p>
        </w:tc>
        <w:tc>
          <w:tcPr>
            <w:tcW w:w="2016" w:type="dxa"/>
            <w:tcBorders/>
            <w:vAlign w:val="center"/>
          </w:tcPr>
          <w:p>
            <w:pPr>
              <w:pStyle w:val="TableContents"/>
              <w:bidi w:val="0"/>
              <w:spacing w:before="0" w:after="283"/>
              <w:jc w:val="left"/>
              <w:rPr/>
            </w:pPr>
            <w:r>
              <w:rPr/>
              <w:t>2,715,000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Purchased Shares are currently held by the Trustee in accordance with the 2022 RSU Scheme Rules and the terms of the trust deed entered into between the Company and the Trustee. The Trustee shall not exercise the voting rights attached to the Shares held on trust by it. As at the date of this announcement, no further grant of Awards has been made pursuant to the 2022 RSU Scheme apart from the initial grant of the 2022 Awards on June 23, 2022 and the further grants of the 2022 Awards on May 4, 2023, September 2, 2024, June 27, 2025, November 26, 2025, April 20, 2026 and June 29, 2026 as disclosed in the Announcements.</w:t>
      </w:r>
    </w:p>
    <w:p>
      <w:pPr>
        <w:pStyle w:val="TextBody"/>
        <w:bidi w:val="0"/>
        <w:spacing w:before="0" w:after="0"/>
        <w:ind w:left="0" w:right="0" w:hanging="0"/>
        <w:jc w:val="left"/>
        <w:rPr>
          <w:caps w:val="false"/>
          <w:smallCaps w:val="false"/>
        </w:rPr>
      </w:pPr>
      <w:r>
        <w:rPr>
          <w:caps w:val="false"/>
          <w:smallCaps w:val="false"/>
        </w:rPr>
        <w:t> </w:t>
      </w:r>
    </w:p>
    <w:tbl>
      <w:tblPr>
        <w:tblW w:w="4220" w:type="dxa"/>
        <w:jc w:val="left"/>
        <w:tblInd w:w="0" w:type="dxa"/>
        <w:tblLayout w:type="fixed"/>
        <w:tblCellMar>
          <w:top w:w="0" w:type="dxa"/>
          <w:left w:w="0" w:type="dxa"/>
          <w:bottom w:w="0" w:type="dxa"/>
          <w:right w:w="0" w:type="dxa"/>
        </w:tblCellMar>
      </w:tblPr>
      <w:tblGrid>
        <w:gridCol w:w="75"/>
        <w:gridCol w:w="4145"/>
      </w:tblGrid>
      <w:tr>
        <w:trPr/>
        <w:tc>
          <w:tcPr>
            <w:tcW w:w="75" w:type="dxa"/>
            <w:tcBorders/>
            <w:vAlign w:val="center"/>
          </w:tcPr>
          <w:p>
            <w:pPr>
              <w:pStyle w:val="TableContents"/>
              <w:bidi w:val="0"/>
              <w:spacing w:before="0" w:after="283"/>
              <w:jc w:val="left"/>
              <w:rPr/>
            </w:pPr>
            <w:r>
              <w:rPr/>
              <w:t> </w:t>
            </w:r>
          </w:p>
        </w:tc>
        <w:tc>
          <w:tcPr>
            <w:tcW w:w="4145" w:type="dxa"/>
            <w:tcBorders/>
            <w:vAlign w:val="center"/>
          </w:tcPr>
          <w:p>
            <w:pPr>
              <w:pStyle w:val="TableContents"/>
              <w:bidi w:val="0"/>
              <w:spacing w:before="0" w:after="283"/>
              <w:jc w:val="center"/>
              <w:rPr/>
            </w:pPr>
            <w:r>
              <w:rPr/>
              <w:t>By Order of the Board</w:t>
            </w:r>
          </w:p>
        </w:tc>
      </w:tr>
      <w:tr>
        <w:trPr/>
        <w:tc>
          <w:tcPr>
            <w:tcW w:w="75" w:type="dxa"/>
            <w:tcBorders/>
            <w:vAlign w:val="center"/>
          </w:tcPr>
          <w:p>
            <w:pPr>
              <w:pStyle w:val="TableContents"/>
              <w:bidi w:val="0"/>
              <w:spacing w:before="0" w:after="283"/>
              <w:jc w:val="left"/>
              <w:rPr/>
            </w:pPr>
            <w:r>
              <w:rPr/>
              <w:t> </w:t>
            </w:r>
          </w:p>
        </w:tc>
        <w:tc>
          <w:tcPr>
            <w:tcW w:w="4145" w:type="dxa"/>
            <w:tcBorders/>
            <w:vAlign w:val="center"/>
          </w:tcPr>
          <w:p>
            <w:pPr>
              <w:pStyle w:val="TableContents"/>
              <w:bidi w:val="0"/>
              <w:spacing w:before="0" w:after="283"/>
              <w:jc w:val="center"/>
              <w:rPr>
                <w:b/>
              </w:rPr>
            </w:pPr>
            <w:r>
              <w:rPr>
                <w:b/>
              </w:rPr>
              <w:t xml:space="preserve">Ascentage Pharma Group International </w:t>
              <w:br/>
              <w:t>Dr. Yang Dajun</w:t>
            </w:r>
          </w:p>
        </w:tc>
      </w:tr>
      <w:tr>
        <w:trPr/>
        <w:tc>
          <w:tcPr>
            <w:tcW w:w="75" w:type="dxa"/>
            <w:tcBorders/>
            <w:vAlign w:val="center"/>
          </w:tcPr>
          <w:p>
            <w:pPr>
              <w:pStyle w:val="TableContents"/>
              <w:bidi w:val="0"/>
              <w:spacing w:before="0" w:after="283"/>
              <w:jc w:val="left"/>
              <w:rPr/>
            </w:pPr>
            <w:r>
              <w:rPr/>
              <w:t> </w:t>
            </w:r>
          </w:p>
        </w:tc>
        <w:tc>
          <w:tcPr>
            <w:tcW w:w="4145" w:type="dxa"/>
            <w:tcBorders/>
            <w:vAlign w:val="center"/>
          </w:tcPr>
          <w:p>
            <w:pPr>
              <w:pStyle w:val="TableContents"/>
              <w:bidi w:val="0"/>
              <w:spacing w:before="0" w:after="283"/>
              <w:jc w:val="center"/>
              <w:rPr>
                <w:i/>
              </w:rPr>
            </w:pPr>
            <w:r>
              <w:rPr>
                <w:i/>
              </w:rPr>
              <w:t>Chairman and Executive Director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Suzhou, People’s Republic of China, September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at the date of this announcement, the Board comprises Dr. Yang Dajun as Chairman and executive Director, Dr. Wang Shaomeng and Dr. Lu Simon DazhongNote 1 as non-executive Directors, and Mr. Ye Changqing, Mr. Ren Wei, Dr. David Sidransky Note 2, Ms. Marina S. Bozilenko, Dr. Debra Yu and Dr. Marc E. Lippman, MD as independent non-executive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6"/>
        <w:gridCol w:w="9991"/>
      </w:tblGrid>
      <w:tr>
        <w:trPr/>
        <w:tc>
          <w:tcPr>
            <w:tcW w:w="3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i/>
              </w:rPr>
            </w:pPr>
            <w:r>
              <w:rPr>
                <w:i/>
              </w:rPr>
              <w:t>1.</w:t>
            </w:r>
          </w:p>
        </w:tc>
        <w:tc>
          <w:tcPr>
            <w:tcW w:w="9991" w:type="dxa"/>
            <w:tcBorders/>
            <w:vAlign w:val="center"/>
          </w:tcPr>
          <w:p>
            <w:pPr>
              <w:pStyle w:val="TableContents"/>
              <w:bidi w:val="0"/>
              <w:spacing w:before="0" w:after="283"/>
              <w:jc w:val="both"/>
              <w:rPr>
                <w:i/>
              </w:rPr>
            </w:pPr>
            <w:r>
              <w:rPr>
                <w:i/>
              </w:rPr>
              <w:t>Dr. Lu Simon Dazhong satisfies the independence requirements of the U.S. Securities and Exchange Commission and Nasdaq corporate governance requirements.</w:t>
            </w:r>
          </w:p>
        </w:tc>
      </w:tr>
    </w:tbl>
    <w:p>
      <w:pPr>
        <w:pStyle w:val="TextBody"/>
        <w:bidi w:val="0"/>
        <w:spacing w:before="0" w:after="0"/>
        <w:ind w:left="0" w:right="0" w:hanging="0"/>
        <w:jc w:val="left"/>
        <w:rPr>
          <w:caps w:val="false"/>
          <w:smallCaps w:val="false"/>
        </w:rPr>
      </w:pPr>
      <w:r>
        <w:rPr>
          <w:caps w:val="false"/>
          <w:smallCaps w:val="false"/>
        </w:rPr>
        <w:t> </w:t>
      </w:r>
    </w:p>
    <w:tbl>
      <w:tblPr>
        <w:tblW w:w="8523" w:type="dxa"/>
        <w:jc w:val="left"/>
        <w:tblInd w:w="0" w:type="dxa"/>
        <w:tblLayout w:type="fixed"/>
        <w:tblCellMar>
          <w:top w:w="0" w:type="dxa"/>
          <w:left w:w="0" w:type="dxa"/>
          <w:bottom w:w="0" w:type="dxa"/>
          <w:right w:w="0" w:type="dxa"/>
        </w:tblCellMar>
      </w:tblPr>
      <w:tblGrid>
        <w:gridCol w:w="38"/>
        <w:gridCol w:w="200"/>
        <w:gridCol w:w="828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i/>
              </w:rPr>
            </w:pPr>
            <w:r>
              <w:rPr>
                <w:i/>
              </w:rPr>
              <w:t>2.</w:t>
            </w:r>
          </w:p>
        </w:tc>
        <w:tc>
          <w:tcPr>
            <w:tcW w:w="8285" w:type="dxa"/>
            <w:tcBorders/>
            <w:vAlign w:val="center"/>
          </w:tcPr>
          <w:p>
            <w:pPr>
              <w:pStyle w:val="TableContents"/>
              <w:bidi w:val="0"/>
              <w:spacing w:before="0" w:after="283"/>
              <w:jc w:val="both"/>
              <w:rPr>
                <w:i/>
              </w:rPr>
            </w:pPr>
            <w:r>
              <w:rPr>
                <w:i/>
              </w:rPr>
              <w:t>Dr. David Sidransky is the Lead Independent Non-Executive Director of the Company.</w:t>
            </w:r>
          </w:p>
        </w:tc>
      </w:tr>
    </w:tbl>
    <w:p>
      <w:pPr>
        <w:pStyle w:val="TextBody"/>
        <w:bidi w:val="0"/>
        <w:spacing w:before="0" w:after="283"/>
        <w:jc w:val="left"/>
        <w:rPr/>
      </w:pPr>
      <w:r>
        <w:rPr/>
        <w:t> </w:t>
      </w:r>
    </w:p>
    <w:p>
      <w:pPr>
        <w:pStyle w:val="TextBody"/>
        <w:bidi w:val="0"/>
        <w:ind w:left="0" w:right="0" w:hanging="0"/>
        <w:jc w:val="left"/>
        <w:rPr/>
      </w:pPr>
      <w:r>
        <w:rPr/>
        <w:t> </w:t>
      </w:r>
    </w:p>
    <w:p>
      <w:pPr>
        <w:pStyle w:val="TextBody"/>
        <w:bidi w:val="0"/>
        <w:jc w:val="right"/>
        <w:rPr>
          <w:b/>
        </w:rPr>
      </w:pPr>
      <w:bookmarkStart w:id="4" w:name="ea030691901ex99-2.htm"/>
      <w:bookmarkStart w:id="5" w:name="ksea030691901ex992"/>
      <w:bookmarkEnd w:id="4"/>
      <w:bookmarkEnd w:id="5"/>
      <w:r>
        <w:rPr>
          <w:b/>
        </w:rPr>
        <w:t>Exhibit 99.2</w:t>
      </w:r>
      <w:r>
        <w:br w:type="page"/>
      </w:r>
    </w:p>
    <w:p>
      <w:pPr>
        <w:pStyle w:val="TextBody"/>
        <w:bidi w:val="0"/>
        <w:jc w:val="right"/>
        <w:rPr/>
      </w:pPr>
      <w:r>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409825" cy="762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409825" cy="7620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ASCENTAGE PHARMA GROUP INTERNATIONAL</w:t>
      </w:r>
    </w:p>
    <w:p>
      <w:pPr>
        <w:pStyle w:val="TextBody"/>
        <w:bidi w:val="0"/>
        <w:spacing w:before="0" w:after="0"/>
        <w:ind w:left="0" w:right="0" w:hanging="0"/>
        <w:jc w:val="center"/>
        <w:rPr>
          <w:rFonts w:eastAsia="Times New Roman;Times;Serif"/>
          <w:b/>
          <w:i w:val="false"/>
          <w:caps w:val="false"/>
          <w:smallCaps w:val="false"/>
          <w:sz w:val="20"/>
        </w:rPr>
      </w:pPr>
      <w:r>
        <w:rPr>
          <w:rFonts w:eastAsia="Times New Roman;Times;Serif"/>
          <w:b/>
          <w:i w:val="false"/>
          <w:caps w:val="false"/>
          <w:smallCaps w:val="false"/>
          <w:sz w:val="20"/>
        </w:rPr>
        <w:t>亞   盛   醫   藥   集   團</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(Incorporated in the Cayman Islands with limited liability)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Code: 6855)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VOLUNTARY ANNOUNCEMENT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ACQUISITION OF SHARES BY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CHAIRMAN AND EXECUTIVE DIRECTOR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is a voluntary announcement made by Ascentage Pharma Group International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notified by Dr. Yang Dajun (“</w:t>
      </w:r>
      <w:r>
        <w:rPr>
          <w:rFonts w:ascii="Times New Roman;Times;Serif" w:hAnsi="Times New Roman;Times;Serif"/>
          <w:b/>
          <w:i w:val="false"/>
          <w:caps w:val="false"/>
          <w:smallCaps w:val="false"/>
          <w:sz w:val="20"/>
        </w:rPr>
        <w:t>Dr. Yang</w:t>
      </w:r>
      <w:r>
        <w:rPr>
          <w:rFonts w:ascii="Times New Roman;Times;Serif" w:hAnsi="Times New Roman;Times;Serif"/>
          <w:b w:val="false"/>
          <w:i w:val="false"/>
          <w:caps w:val="false"/>
          <w:smallCaps w:val="false"/>
          <w:sz w:val="20"/>
        </w:rPr>
        <w:t>”), an executive director and the chairman of the board of directors of the Company that, on September 23, 2026, September 24, 2026, and September 25, 2026, he has acquired an aggregate of 38,630 ordinary shares of the Company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on-market at a total consideration of approximately HK$1,157,137 with an average price of approximately HK$29.95 per Share, representing approximately 0.01% of the total issued share capital of the Company as at the date of this announcement (collectively, the “</w:t>
      </w:r>
      <w:r>
        <w:rPr>
          <w:rFonts w:ascii="Times New Roman;Times;Serif" w:hAnsi="Times New Roman;Times;Serif"/>
          <w:b/>
          <w:i w:val="false"/>
          <w:caps w:val="false"/>
          <w:smallCaps w:val="false"/>
          <w:sz w:val="20"/>
        </w:rPr>
        <w:t>Acquisitions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the date of this announcement, Dr. Yang is deemed to be interested in an aggregate of 62,531,624 Shares pursuant to Part XV of the Securities and Futures Ordinance (Chapter 571 of the Laws of Hong Kong) through interest as beneficial owner, interests held jointly with other persons, interest of spouse and being the settlor of a discretionary trust (please refer to the section headed “Directors’ and Chief Executives’ Interests and Short Positions in Shares and Underlying Shares and Debentures of the Company or any of its Associated Corporations” in the interim report of the Company for the six months ended June 30, 2026 for further details). As such, following the completion of the Acquisitions, Dr. Yang will be deemed to be interested in an aggregate of 62,570,254 Shares, representing approximately 16.69% of the total issued share capital of the Company as at the date of this announcement.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advised by Dr. Yang, the Acquisitions indicate his confidence in the prospects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Acquisitions were conducted in compliance with applicable laws, rules and regulations, including the Model Code for Securities Transactions by Directors of Listed Issuers as set out in Appendix C3 to the Rules Governing the Listing of Securities on The Stock Exchange of Hong Kong Limited and the Company’s own code of conduct regarding securities transactions, namely the policy on management of securities transactions by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Shareholders of the Company and potential investors are advised to exercise caution when dealing in the securities of the Company.</w:t>
      </w:r>
    </w:p>
    <w:p>
      <w:pPr>
        <w:pStyle w:val="TextBody"/>
        <w:bidi w:val="0"/>
        <w:spacing w:before="0" w:after="0"/>
        <w:ind w:left="0" w:right="0" w:hanging="0"/>
        <w:jc w:val="left"/>
        <w:rPr>
          <w:caps w:val="false"/>
          <w:smallCaps w:val="false"/>
        </w:rPr>
      </w:pPr>
      <w:r>
        <w:rPr>
          <w:caps w:val="false"/>
          <w:smallCaps w:val="false"/>
        </w:rPr>
        <w:t> </w:t>
      </w:r>
    </w:p>
    <w:tbl>
      <w:tblPr>
        <w:tblW w:w="4220" w:type="dxa"/>
        <w:jc w:val="left"/>
        <w:tblInd w:w="0" w:type="dxa"/>
        <w:tblLayout w:type="fixed"/>
        <w:tblCellMar>
          <w:top w:w="0" w:type="dxa"/>
          <w:left w:w="0" w:type="dxa"/>
          <w:bottom w:w="0" w:type="dxa"/>
          <w:right w:w="0" w:type="dxa"/>
        </w:tblCellMar>
      </w:tblPr>
      <w:tblGrid>
        <w:gridCol w:w="75"/>
        <w:gridCol w:w="4145"/>
      </w:tblGrid>
      <w:tr>
        <w:trPr/>
        <w:tc>
          <w:tcPr>
            <w:tcW w:w="75" w:type="dxa"/>
            <w:tcBorders/>
            <w:vAlign w:val="center"/>
          </w:tcPr>
          <w:p>
            <w:pPr>
              <w:pStyle w:val="TableContents"/>
              <w:bidi w:val="0"/>
              <w:spacing w:before="0" w:after="283"/>
              <w:jc w:val="left"/>
              <w:rPr/>
            </w:pPr>
            <w:r>
              <w:rPr/>
              <w:t> </w:t>
            </w:r>
          </w:p>
        </w:tc>
        <w:tc>
          <w:tcPr>
            <w:tcW w:w="4145" w:type="dxa"/>
            <w:tcBorders/>
            <w:vAlign w:val="center"/>
          </w:tcPr>
          <w:p>
            <w:pPr>
              <w:pStyle w:val="TableContents"/>
              <w:bidi w:val="0"/>
              <w:spacing w:before="0" w:after="283"/>
              <w:jc w:val="center"/>
              <w:rPr/>
            </w:pPr>
            <w:r>
              <w:rPr/>
              <w:t>By Order of the Board</w:t>
            </w:r>
          </w:p>
        </w:tc>
      </w:tr>
      <w:tr>
        <w:trPr/>
        <w:tc>
          <w:tcPr>
            <w:tcW w:w="75" w:type="dxa"/>
            <w:tcBorders/>
            <w:vAlign w:val="center"/>
          </w:tcPr>
          <w:p>
            <w:pPr>
              <w:pStyle w:val="TableContents"/>
              <w:bidi w:val="0"/>
              <w:spacing w:before="0" w:after="283"/>
              <w:jc w:val="left"/>
              <w:rPr/>
            </w:pPr>
            <w:r>
              <w:rPr/>
              <w:t> </w:t>
            </w:r>
          </w:p>
        </w:tc>
        <w:tc>
          <w:tcPr>
            <w:tcW w:w="4145" w:type="dxa"/>
            <w:tcBorders/>
            <w:vAlign w:val="center"/>
          </w:tcPr>
          <w:p>
            <w:pPr>
              <w:pStyle w:val="TableContents"/>
              <w:bidi w:val="0"/>
              <w:spacing w:before="0" w:after="283"/>
              <w:jc w:val="center"/>
              <w:rPr>
                <w:b/>
              </w:rPr>
            </w:pPr>
            <w:r>
              <w:rPr>
                <w:b/>
              </w:rPr>
              <w:t xml:space="preserve">Ascentage Pharma Group International </w:t>
              <w:br/>
              <w:t>Dr. Yang Dajun</w:t>
            </w:r>
          </w:p>
        </w:tc>
      </w:tr>
      <w:tr>
        <w:trPr/>
        <w:tc>
          <w:tcPr>
            <w:tcW w:w="75" w:type="dxa"/>
            <w:tcBorders/>
            <w:vAlign w:val="center"/>
          </w:tcPr>
          <w:p>
            <w:pPr>
              <w:pStyle w:val="TableContents"/>
              <w:bidi w:val="0"/>
              <w:spacing w:before="0" w:after="283"/>
              <w:jc w:val="left"/>
              <w:rPr/>
            </w:pPr>
            <w:r>
              <w:rPr/>
              <w:t> </w:t>
            </w:r>
          </w:p>
        </w:tc>
        <w:tc>
          <w:tcPr>
            <w:tcW w:w="4145" w:type="dxa"/>
            <w:tcBorders/>
            <w:vAlign w:val="center"/>
          </w:tcPr>
          <w:p>
            <w:pPr>
              <w:pStyle w:val="TableContents"/>
              <w:bidi w:val="0"/>
              <w:spacing w:before="0" w:after="283"/>
              <w:jc w:val="center"/>
              <w:rPr>
                <w:i/>
              </w:rPr>
            </w:pPr>
            <w:r>
              <w:rPr>
                <w:i/>
              </w:rPr>
              <w:t>Chairman and Executive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Suzhou, People’s Republic of China, September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at the date of this announcement, the Board comprises Dr. Yang Dajun as Chairman and executive Director, Dr. Wang Shaomeng and Dr. Lu Simon DazhongNote 1 as non-executive Directors, and Mr. Ye Changqing, Mr. Ren Wei, Dr. David Sidransky Note 2, Ms. Marina S. Bozilenko, Dr. Debra Yu and Dr. Marc E. Lippman, MD as independent non-executive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6"/>
        <w:gridCol w:w="9991"/>
      </w:tblGrid>
      <w:tr>
        <w:trPr/>
        <w:tc>
          <w:tcPr>
            <w:tcW w:w="3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i/>
              </w:rPr>
            </w:pPr>
            <w:r>
              <w:rPr>
                <w:i/>
              </w:rPr>
              <w:t>1.</w:t>
            </w:r>
          </w:p>
        </w:tc>
        <w:tc>
          <w:tcPr>
            <w:tcW w:w="9991" w:type="dxa"/>
            <w:tcBorders/>
            <w:vAlign w:val="center"/>
          </w:tcPr>
          <w:p>
            <w:pPr>
              <w:pStyle w:val="TableContents"/>
              <w:bidi w:val="0"/>
              <w:spacing w:before="0" w:after="283"/>
              <w:jc w:val="both"/>
              <w:rPr>
                <w:i/>
              </w:rPr>
            </w:pPr>
            <w:r>
              <w:rPr>
                <w:i/>
              </w:rPr>
              <w:t>Dr. Lu Simon Dazhong satisfies the independence requirements of the U.S. Securities and Exchange Commission and Nasdaq corporate governance requirements.</w:t>
            </w:r>
          </w:p>
        </w:tc>
      </w:tr>
    </w:tbl>
    <w:p>
      <w:pPr>
        <w:pStyle w:val="TextBody"/>
        <w:bidi w:val="0"/>
        <w:spacing w:before="0" w:after="0"/>
        <w:ind w:left="0" w:right="0" w:hanging="0"/>
        <w:jc w:val="left"/>
        <w:rPr>
          <w:caps w:val="false"/>
          <w:smallCaps w:val="false"/>
        </w:rPr>
      </w:pPr>
      <w:r>
        <w:rPr>
          <w:caps w:val="false"/>
          <w:smallCaps w:val="false"/>
        </w:rPr>
        <w:t> </w:t>
      </w:r>
    </w:p>
    <w:tbl>
      <w:tblPr>
        <w:tblW w:w="8523" w:type="dxa"/>
        <w:jc w:val="left"/>
        <w:tblInd w:w="0" w:type="dxa"/>
        <w:tblLayout w:type="fixed"/>
        <w:tblCellMar>
          <w:top w:w="0" w:type="dxa"/>
          <w:left w:w="0" w:type="dxa"/>
          <w:bottom w:w="0" w:type="dxa"/>
          <w:right w:w="0" w:type="dxa"/>
        </w:tblCellMar>
      </w:tblPr>
      <w:tblGrid>
        <w:gridCol w:w="38"/>
        <w:gridCol w:w="200"/>
        <w:gridCol w:w="828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i/>
              </w:rPr>
            </w:pPr>
            <w:r>
              <w:rPr>
                <w:i/>
              </w:rPr>
              <w:t>2.</w:t>
            </w:r>
          </w:p>
        </w:tc>
        <w:tc>
          <w:tcPr>
            <w:tcW w:w="8285" w:type="dxa"/>
            <w:tcBorders/>
            <w:vAlign w:val="center"/>
          </w:tcPr>
          <w:p>
            <w:pPr>
              <w:pStyle w:val="TableContents"/>
              <w:bidi w:val="0"/>
              <w:spacing w:before="0" w:after="283"/>
              <w:jc w:val="both"/>
              <w:rPr>
                <w:i/>
              </w:rPr>
            </w:pPr>
            <w:r>
              <w:rPr>
                <w:i/>
              </w:rPr>
              <w:t>Dr. David Sidransky is the Lead Independent Non-Executive Director of the Company.</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1463</Words>
  <Characters>7718</Characters>
  <CharactersWithSpaces>9214</CharactersWithSpaces>
  <Paragraphs>195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