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705-6k_ascentage.htm"/>
      <w:bookmarkStart w:id="1" w:name="ksea03007056k_ascentage"/>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 xml:space="preserve">Washington, D.C. 20549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Form 6-K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001-42484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 Xinqing Road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Industrial Park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Ascentage Pharma Group International issued an announcement dated August 5, 2026 entitled “Notice of Board Meeting”. A copy of the announcement is furnished as Exhibit 99.1.</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25"/>
        <w:gridCol w:w="60"/>
        <w:gridCol w:w="3470"/>
      </w:tblGrid>
      <w:tr>
        <w:trPr/>
        <w:tc>
          <w:tcPr>
            <w:tcW w:w="725" w:type="dxa"/>
            <w:tcBorders/>
            <w:vAlign w:val="center"/>
          </w:tcPr>
          <w:p>
            <w:pPr>
              <w:pStyle w:val="TableContents"/>
              <w:bidi w:val="0"/>
              <w:spacing w:before="0" w:after="283"/>
              <w:jc w:val="left"/>
              <w:rPr>
                <w:b/>
                <w:sz w:val="20"/>
              </w:rPr>
            </w:pPr>
            <w:r>
              <w:rPr>
                <w:b/>
                <w:sz w:val="20"/>
              </w:rPr>
              <w:t>Exhibit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r>
      <w:tr>
        <w:trPr/>
        <w:tc>
          <w:tcPr>
            <w:tcW w:w="72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Number</w:t>
            </w:r>
          </w:p>
        </w:tc>
        <w:tc>
          <w:tcPr>
            <w:tcW w:w="60" w:type="dxa"/>
            <w:tcBorders/>
            <w:vAlign w:val="center"/>
          </w:tcPr>
          <w:p>
            <w:pPr>
              <w:pStyle w:val="TableContents"/>
              <w:bidi w:val="0"/>
              <w:spacing w:before="0" w:after="283"/>
              <w:jc w:val="left"/>
              <w:rPr/>
            </w:pPr>
            <w:r>
              <w:rPr/>
              <w:t> </w:t>
            </w:r>
          </w:p>
        </w:tc>
        <w:tc>
          <w:tcPr>
            <w:tcW w:w="3470"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Exhibit Title</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left"/>
              <w:rPr/>
            </w:pPr>
            <w:hyperlink w:anchor="ea030070501ex99-1.htm">
              <w:r>
                <w:rPr>
                  <w:rStyle w:val="InternetLink"/>
                </w:rPr>
                <w:t>Announcement date August 5, 2026</w:t>
              </w:r>
            </w:hyperlink>
          </w:p>
        </w:tc>
      </w:tr>
    </w:tbl>
    <w:p>
      <w:pPr>
        <w:pStyle w:val="TextBody"/>
        <w:bidi w:val="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6324" w:type="dxa"/>
        <w:jc w:val="left"/>
        <w:tblInd w:w="0" w:type="dxa"/>
        <w:tblLayout w:type="fixed"/>
        <w:tblCellMar>
          <w:top w:w="0" w:type="dxa"/>
          <w:left w:w="0" w:type="dxa"/>
          <w:bottom w:w="0" w:type="dxa"/>
          <w:right w:w="0" w:type="dxa"/>
        </w:tblCellMar>
      </w:tblPr>
      <w:tblGrid>
        <w:gridCol w:w="1760"/>
        <w:gridCol w:w="995"/>
        <w:gridCol w:w="3569"/>
      </w:tblGrid>
      <w:tr>
        <w:trPr/>
        <w:tc>
          <w:tcPr>
            <w:tcW w:w="1760"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b/>
                <w:sz w:val="20"/>
              </w:rPr>
            </w:pPr>
            <w:r>
              <w:rPr>
                <w:b/>
                <w:sz w:val="20"/>
              </w:rPr>
              <w:t>ASCENTAGE PHARMA GROUP INTERNATIONAL</w:t>
            </w:r>
          </w:p>
        </w:tc>
      </w:tr>
      <w:tr>
        <w:trPr/>
        <w:tc>
          <w:tcPr>
            <w:tcW w:w="1760"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5, 2026</w:t>
            </w:r>
          </w:p>
        </w:tc>
        <w:tc>
          <w:tcPr>
            <w:tcW w:w="4564" w:type="dxa"/>
            <w:gridSpan w:val="2"/>
            <w:tcBorders>
              <w:bottom w:val="single" w:sz="12" w:space="0" w:color="000000"/>
            </w:tcBorders>
            <w:tcMar>
              <w:bottom w:w="28" w:type="dxa"/>
            </w:tcMar>
            <w:vAlign w:val="center"/>
          </w:tcPr>
          <w:p>
            <w:pPr>
              <w:pStyle w:val="TableContents"/>
              <w:bidi w:val="0"/>
              <w:spacing w:before="0" w:after="283"/>
              <w:jc w:val="left"/>
              <w:rPr>
                <w:i/>
                <w:sz w:val="20"/>
              </w:rPr>
            </w:pPr>
            <w:r>
              <w:rPr>
                <w:i/>
                <w:sz w:val="20"/>
              </w:rPr>
              <w:t>/s/ Dajun Yang</w:t>
            </w:r>
          </w:p>
        </w:tc>
      </w:tr>
      <w:tr>
        <w:trPr/>
        <w:tc>
          <w:tcPr>
            <w:tcW w:w="17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20"/>
              </w:rPr>
            </w:pPr>
            <w:r>
              <w:rPr>
                <w:sz w:val="20"/>
              </w:rPr>
              <w:t>Name:</w:t>
            </w:r>
          </w:p>
        </w:tc>
        <w:tc>
          <w:tcPr>
            <w:tcW w:w="3569" w:type="dxa"/>
            <w:tcBorders/>
            <w:vAlign w:val="center"/>
          </w:tcPr>
          <w:p>
            <w:pPr>
              <w:pStyle w:val="TableContents"/>
              <w:bidi w:val="0"/>
              <w:spacing w:before="0" w:after="283"/>
              <w:jc w:val="left"/>
              <w:rPr>
                <w:sz w:val="20"/>
              </w:rPr>
            </w:pPr>
            <w:r>
              <w:rPr>
                <w:sz w:val="20"/>
              </w:rPr>
              <w:t>Dajun Yang</w:t>
            </w:r>
          </w:p>
        </w:tc>
      </w:tr>
      <w:tr>
        <w:trPr/>
        <w:tc>
          <w:tcPr>
            <w:tcW w:w="17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20"/>
              </w:rPr>
            </w:pPr>
            <w:r>
              <w:rPr>
                <w:sz w:val="20"/>
              </w:rPr>
              <w:t>Title:</w:t>
            </w:r>
          </w:p>
        </w:tc>
        <w:tc>
          <w:tcPr>
            <w:tcW w:w="3569" w:type="dxa"/>
            <w:tcBorders/>
            <w:vAlign w:val="center"/>
          </w:tcPr>
          <w:p>
            <w:pPr>
              <w:pStyle w:val="TableContents"/>
              <w:bidi w:val="0"/>
              <w:spacing w:before="0" w:after="283"/>
              <w:jc w:val="left"/>
              <w:rPr>
                <w:sz w:val="20"/>
              </w:rPr>
            </w:pPr>
            <w:r>
              <w:rPr>
                <w:sz w:val="20"/>
              </w:rPr>
              <w:t>Chief Executive Officer</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jc w:val="center"/>
        <w:rPr>
          <w:caps w:val="false"/>
          <w:smallCaps w:val="false"/>
        </w:rPr>
      </w:pPr>
      <w:r>
        <w:rPr>
          <w:caps w:val="false"/>
          <w:smallCaps w:val="false"/>
        </w:rPr>
        <w:t> </w:t>
      </w:r>
    </w:p>
    <w:p>
      <w:pPr>
        <w:pStyle w:val="TextBody"/>
        <w:bidi w:val="0"/>
        <w:jc w:val="right"/>
        <w:rPr>
          <w:b/>
        </w:rPr>
      </w:pPr>
      <w:bookmarkStart w:id="2" w:name="ea030070501ex99-1.htm"/>
      <w:bookmarkStart w:id="3" w:name="ksea030070501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1"/>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40982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762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2"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亞盛醫藥集團</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6855)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BOARD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Ascentage Pharma Group International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together with its subsidiaries, collectively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hereby announces that a meeting of the Board will be held on Wednesday, August 19, 2026, for the purpose of, among other things, considering and, if appropriate, approving the unaudited interim results of the Group for the six months ended June 30, 2026 and its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92"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extBody"/>
        <w:bidi w:val="0"/>
        <w:spacing w:before="0" w:after="0"/>
        <w:ind w:left="589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589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Yang Dajun</w:t>
      </w:r>
    </w:p>
    <w:p>
      <w:pPr>
        <w:pStyle w:val="TextBody"/>
        <w:bidi w:val="0"/>
        <w:spacing w:before="0" w:after="0"/>
        <w:ind w:left="5892"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and Executive Director</w:t>
      </w:r>
    </w:p>
    <w:p>
      <w:pPr>
        <w:pStyle w:val="TextBody"/>
        <w:bidi w:val="0"/>
        <w:spacing w:before="0" w:after="0"/>
        <w:ind w:left="142"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People’s Republic of China, August 5, 2026</w:t>
      </w:r>
    </w:p>
    <w:p>
      <w:pPr>
        <w:pStyle w:val="TextBody"/>
        <w:bidi w:val="0"/>
        <w:spacing w:before="0" w:after="0"/>
        <w:ind w:left="11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 at the date of this announcement, the Board comprises Dr. Yang Dajun as Chairman and executive Director, Dr. Wang Shaomeng and Dr. Lu Simon DazhongNote 1 as non-executive Directors, and Mr. Ye Changqing, Mr. Ren Wei, Dr. David Sidransky </w:t>
      </w:r>
      <w:r>
        <w:rPr>
          <w:rFonts w:ascii="Times New Roman;Times;Serif" w:hAnsi="Times New Roman;Times;Serif"/>
          <w:b w:val="false"/>
          <w:i/>
          <w:caps w:val="false"/>
          <w:smallCaps w:val="false"/>
          <w:position w:val="7"/>
          <w:sz w:val="16"/>
          <w:sz w:val="20"/>
        </w:rPr>
        <w:t>Note 2</w:t>
      </w:r>
      <w:r>
        <w:rPr>
          <w:rFonts w:ascii="Times New Roman;Times;Serif" w:hAnsi="Times New Roman;Times;Serif"/>
          <w:b w:val="false"/>
          <w:i/>
          <w:caps w:val="false"/>
          <w:smallCaps w:val="false"/>
          <w:sz w:val="20"/>
        </w:rPr>
        <w:t>, Ms. Marina S. Bozilenko, Dr. Debra Yu and Dr. Marc E. Lippman, MD as independent non-executive Directors.</w:t>
      </w:r>
    </w:p>
    <w:p>
      <w:pPr>
        <w:pStyle w:val="TextBody"/>
        <w:bidi w:val="0"/>
        <w:spacing w:before="0" w:after="0"/>
        <w:ind w:left="12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i/>
              </w:rPr>
            </w:pPr>
            <w:r>
              <w:rPr>
                <w:i/>
              </w:rPr>
              <w:t>1.</w:t>
            </w:r>
          </w:p>
        </w:tc>
        <w:tc>
          <w:tcPr>
            <w:tcW w:w="10013" w:type="dxa"/>
            <w:tcBorders/>
            <w:vAlign w:val="center"/>
          </w:tcPr>
          <w:p>
            <w:pPr>
              <w:pStyle w:val="TableContents"/>
              <w:bidi w:val="0"/>
              <w:spacing w:before="0" w:after="283"/>
              <w:jc w:val="left"/>
              <w:rPr>
                <w:i/>
              </w:rPr>
            </w:pPr>
            <w:r>
              <w:rPr>
                <w:i/>
              </w:rPr>
              <w:t>Dr. Lu Simon Dazhong satisfy the independence requirements of the U.S. Securities and Exchange Commission and Nasdaq corporate governance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15"/>
        <w:gridCol w:w="8285"/>
      </w:tblGrid>
      <w:tr>
        <w:trPr/>
        <w:tc>
          <w:tcPr>
            <w:tcW w:w="215" w:type="dxa"/>
            <w:tcBorders/>
            <w:vAlign w:val="center"/>
          </w:tcPr>
          <w:p>
            <w:pPr>
              <w:pStyle w:val="TableContents"/>
              <w:bidi w:val="0"/>
              <w:spacing w:before="0" w:after="283"/>
              <w:jc w:val="left"/>
              <w:rPr>
                <w:i/>
              </w:rPr>
            </w:pPr>
            <w:r>
              <w:rPr>
                <w:i/>
              </w:rPr>
              <w:t>2.</w:t>
            </w:r>
          </w:p>
        </w:tc>
        <w:tc>
          <w:tcPr>
            <w:tcW w:w="8285" w:type="dxa"/>
            <w:tcBorders/>
            <w:vAlign w:val="center"/>
          </w:tcPr>
          <w:p>
            <w:pPr>
              <w:pStyle w:val="TableContents"/>
              <w:bidi w:val="0"/>
              <w:spacing w:before="0" w:after="283"/>
              <w:jc w:val="left"/>
              <w:rPr>
                <w:i/>
              </w:rPr>
            </w:pPr>
            <w:r>
              <w:rPr>
                <w:i/>
              </w:rPr>
              <w:t>Dr. David Sidransky is the Lead Independent Non-Executive Director of the Company.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457</Words>
  <Characters>2463</Characters>
  <CharactersWithSpaces>2910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