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796-6k_ascentage.htm"/>
      <w:bookmarkStart w:id="1" w:name="ksea03057966k_ascentag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6-K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ASCENTAGE PHARMA GROUP INTERNATIONAL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 Xinqing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Ascentage Pharma Group International (“Ascentage Pharma” or the “Company”) posted an announcement on the Hong Kong Stock Exchange entitled, “2026 Interim Report”. A copy of the announcement is furnished as Exhibit 99.1 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1445"/>
        <w:gridCol w:w="60"/>
        <w:gridCol w:w="3440"/>
      </w:tblGrid>
      <w:tr>
        <w:trPr/>
        <w:tc>
          <w:tcPr>
            <w:tcW w:w="144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Number</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344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w:t>
            </w:r>
          </w:p>
        </w:tc>
      </w:tr>
      <w:tr>
        <w:trPr/>
        <w:tc>
          <w:tcPr>
            <w:tcW w:w="1445" w:type="dxa"/>
            <w:tcBorders/>
            <w:shd w:fill="CCEEFF" w:val="clear"/>
            <w:tcMar>
              <w:bottom w:w="0" w:type="dxa"/>
            </w:tcMar>
            <w:vAlign w:val="center"/>
          </w:tcPr>
          <w:p>
            <w:pPr>
              <w:pStyle w:val="TableContents"/>
              <w:bidi w:val="0"/>
              <w:spacing w:before="0" w:after="283"/>
              <w:jc w:val="left"/>
              <w:rPr/>
            </w:pPr>
            <w:r>
              <w:rPr/>
              <w:t>99.1  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0" w:type="dxa"/>
            <w:tcBorders/>
            <w:shd w:fill="CCEEFF" w:val="clear"/>
            <w:tcMar>
              <w:bottom w:w="0" w:type="dxa"/>
            </w:tcMar>
            <w:vAlign w:val="center"/>
          </w:tcPr>
          <w:p>
            <w:pPr>
              <w:pStyle w:val="TableContents"/>
              <w:bidi w:val="0"/>
              <w:spacing w:before="0" w:after="283"/>
              <w:jc w:val="left"/>
              <w:rPr/>
            </w:pPr>
            <w:hyperlink w:anchor="ea030579601ex99-1.htm">
              <w:r>
                <w:rPr>
                  <w:rStyle w:val="InternetLink"/>
                  <w:rFonts w:ascii="Times New Roman;Times;Serif" w:hAnsi="Times New Roman;Times;Serif"/>
                  <w:sz w:val="20"/>
                </w:rPr>
                <w:t>Announcement dated September 17,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699" w:type="dxa"/>
        <w:jc w:val="left"/>
        <w:tblInd w:w="0" w:type="dxa"/>
        <w:tblLayout w:type="fixed"/>
        <w:tblCellMar>
          <w:top w:w="0" w:type="dxa"/>
          <w:left w:w="0" w:type="dxa"/>
          <w:bottom w:w="0" w:type="dxa"/>
          <w:right w:w="0" w:type="dxa"/>
        </w:tblCellMar>
      </w:tblPr>
      <w:tblGrid>
        <w:gridCol w:w="2135"/>
        <w:gridCol w:w="1058"/>
        <w:gridCol w:w="3506"/>
      </w:tblGrid>
      <w:tr>
        <w:trPr/>
        <w:tc>
          <w:tcPr>
            <w:tcW w:w="213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ASCENTAGE PHARMA GROUP INTERNATIONAL</w:t>
            </w:r>
          </w:p>
        </w:tc>
      </w:tr>
      <w:tr>
        <w:trPr/>
        <w:tc>
          <w:tcPr>
            <w:tcW w:w="213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17, 2026</w:t>
            </w:r>
          </w:p>
        </w:tc>
        <w:tc>
          <w:tcPr>
            <w:tcW w:w="456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Dajun Yang</w:t>
            </w:r>
          </w:p>
        </w:tc>
      </w:tr>
      <w:tr>
        <w:trPr/>
        <w:tc>
          <w:tcPr>
            <w:tcW w:w="213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Dajun Yang</w:t>
            </w:r>
          </w:p>
        </w:tc>
      </w:tr>
      <w:tr>
        <w:trPr/>
        <w:tc>
          <w:tcPr>
            <w:tcW w:w="2135"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79601ex99-1.htm"/>
      <w:bookmarkStart w:id="3" w:name="ksea030579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96000" cy="827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96000" cy="82772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CONTENTS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605"/>
        <w:gridCol w:w="60"/>
        <w:gridCol w:w="245"/>
      </w:tblGrid>
      <w:tr>
        <w:trPr/>
        <w:tc>
          <w:tcPr>
            <w:tcW w:w="6605" w:type="dxa"/>
            <w:tcBorders/>
            <w:shd w:fill="CCEEFF" w:val="clear"/>
            <w:vAlign w:val="center"/>
          </w:tcPr>
          <w:p>
            <w:pPr>
              <w:pStyle w:val="TableContents"/>
              <w:bidi w:val="0"/>
              <w:spacing w:before="0" w:after="283"/>
              <w:jc w:val="both"/>
              <w:rPr/>
            </w:pPr>
            <w:hyperlink w:anchor="f_001">
              <w:r>
                <w:rPr>
                  <w:rStyle w:val="InternetLink"/>
                  <w:rFonts w:ascii="Times New Roman;Times;Serif" w:hAnsi="Times New Roman;Times;Serif"/>
                  <w:b/>
                  <w:i w:val="false"/>
                  <w:caps w:val="false"/>
                  <w:smallCaps w:val="false"/>
                  <w:sz w:val="20"/>
                </w:rPr>
                <w:t>Definitions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i w:val="false"/>
                  <w:caps w:val="false"/>
                  <w:smallCaps w:val="false"/>
                  <w:sz w:val="20"/>
                </w:rPr>
                <w:t>Corporate Information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3">
              <w:r>
                <w:rPr>
                  <w:rStyle w:val="InternetLink"/>
                  <w:rFonts w:ascii="Times New Roman;Times;Serif" w:hAnsi="Times New Roman;Times;Serif"/>
                  <w:b/>
                  <w:i w:val="false"/>
                  <w:caps w:val="false"/>
                  <w:smallCaps w:val="false"/>
                  <w:sz w:val="20"/>
                </w:rPr>
                <w:t>Financial Highlights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i w:val="false"/>
                  <w:caps w:val="false"/>
                  <w:smallCaps w:val="false"/>
                  <w:sz w:val="20"/>
                </w:rPr>
                <w:t>Business Highlights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5">
              <w:r>
                <w:rPr>
                  <w:rStyle w:val="InternetLink"/>
                  <w:rFonts w:ascii="Times New Roman;Times;Serif" w:hAnsi="Times New Roman;Times;Serif"/>
                  <w:b/>
                  <w:i w:val="false"/>
                  <w:caps w:val="false"/>
                  <w:smallCaps w:val="false"/>
                  <w:sz w:val="20"/>
                </w:rPr>
                <w:t>Management Discussion and Analysis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6">
              <w:r>
                <w:rPr>
                  <w:rStyle w:val="InternetLink"/>
                  <w:rFonts w:ascii="Times New Roman;Times;Serif" w:hAnsi="Times New Roman;Times;Serif"/>
                  <w:b/>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7">
              <w:r>
                <w:rPr>
                  <w:rStyle w:val="InternetLink"/>
                  <w:rFonts w:ascii="Times New Roman;Times;Serif" w:hAnsi="Times New Roman;Times;Serif"/>
                  <w:b/>
                  <w:i w:val="false"/>
                  <w:caps w:val="false"/>
                  <w:smallCaps w:val="false"/>
                  <w:sz w:val="20"/>
                </w:rPr>
                <w:t>Independent Review Report</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8">
              <w:r>
                <w:rPr>
                  <w:rStyle w:val="InternetLink"/>
                  <w:rFonts w:ascii="Times New Roman;Times;Serif" w:hAnsi="Times New Roman;Times;Serif"/>
                  <w:b/>
                  <w:i w:val="false"/>
                  <w:caps w:val="false"/>
                  <w:smallCaps w:val="false"/>
                  <w:sz w:val="20"/>
                </w:rPr>
                <w:t>Interim Condensed Consolidated Statement of Profit or Loss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09">
              <w:r>
                <w:rPr>
                  <w:rStyle w:val="InternetLink"/>
                  <w:rFonts w:ascii="Times New Roman;Times;Serif" w:hAnsi="Times New Roman;Times;Serif"/>
                  <w:b/>
                  <w:i w:val="false"/>
                  <w:caps w:val="false"/>
                  <w:smallCaps w:val="false"/>
                  <w:sz w:val="20"/>
                </w:rPr>
                <w:t>Interim Condensed Consolidated Statement of Comprehensive Income or Loss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10">
              <w:r>
                <w:rPr>
                  <w:rStyle w:val="InternetLink"/>
                  <w:rFonts w:ascii="Times New Roman;Times;Serif" w:hAnsi="Times New Roman;Times;Serif"/>
                  <w:b/>
                  <w:i w:val="false"/>
                  <w:caps w:val="false"/>
                  <w:smallCaps w:val="false"/>
                  <w:sz w:val="20"/>
                </w:rPr>
                <w:t>Interim Condensed Consolidated Statement of Financial Position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11">
              <w:r>
                <w:rPr>
                  <w:rStyle w:val="InternetLink"/>
                  <w:rFonts w:ascii="Times New Roman;Times;Serif" w:hAnsi="Times New Roman;Times;Serif"/>
                  <w:b/>
                  <w:i w:val="false"/>
                  <w:caps w:val="false"/>
                  <w:smallCaps w:val="false"/>
                  <w:sz w:val="20"/>
                </w:rPr>
                <w:t>Interim Condensed Consolidated Statement of Changes in Equity</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12">
              <w:r>
                <w:rPr>
                  <w:rStyle w:val="InternetLink"/>
                  <w:rFonts w:ascii="Times New Roman;Times;Serif" w:hAnsi="Times New Roman;Times;Serif"/>
                  <w:b/>
                  <w:i w:val="false"/>
                  <w:caps w:val="false"/>
                  <w:smallCaps w:val="false"/>
                  <w:sz w:val="20"/>
                </w:rPr>
                <w:t>Interim Condensed Consolidated Statement of Cash Flows</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66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05" w:type="dxa"/>
            <w:tcBorders/>
            <w:shd w:fill="CCEEFF" w:val="clear"/>
            <w:vAlign w:val="center"/>
          </w:tcPr>
          <w:p>
            <w:pPr>
              <w:pStyle w:val="TableContents"/>
              <w:bidi w:val="0"/>
              <w:spacing w:before="0" w:after="283"/>
              <w:jc w:val="both"/>
              <w:rPr/>
            </w:pPr>
            <w:hyperlink w:anchor="f_013">
              <w:r>
                <w:rPr>
                  <w:rStyle w:val="InternetLink"/>
                  <w:rFonts w:ascii="Times New Roman;Times;Serif" w:hAnsi="Times New Roman;Times;Serif"/>
                  <w:b/>
                  <w:i w:val="false"/>
                  <w:caps w:val="false"/>
                  <w:smallCaps w:val="false"/>
                  <w:sz w:val="20"/>
                </w:rPr>
                <w:t>Notes to Interim Condensed Consolidated Financial Information</w:t>
              </w:r>
            </w:hyperlink>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interim report, unless the context otherwise requires, the following terms have the following meanings. These terms and their definitions may not correspond to any industry standard definitions, and may not be directly comparable to similarly titled terms adopted by other companies operating in the same industries as our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2"/>
        <w:gridCol w:w="8753"/>
      </w:tblGrid>
      <w:tr>
        <w:trPr/>
        <w:tc>
          <w:tcPr>
            <w:tcW w:w="1452"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2018 RSU Scheme”</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share unit scheme approved by the Board on July 6, 2018 (as amended from time to time)</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2020 Placing”</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of 15,000,000 Shares at a price of HK$46.80 each pursuant to the terms and conditions of the 2020 Placing Agreement</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2020 Placing Agreement”</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agreement entered into among the Company, Citigroup Global Markets Limited and J.P. Morgan Securities (Asia Pacific) Limited dated July 8, 2020 in relation to the 2020 Placing</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2021 Placing”</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of 26,500,000 Shares at a price of HK$44.20 each pursuant to the terms and conditions of the 2021 Placing Agreement</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2021 Placing Agreement”</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agreement entered into among the Company, the Founders SPV, J.P. Morgan Securities (Asia Pacific) Limited and China International Capital Corporation Hong Kong Securities Limited dated February 3, 2021 in relation to the 2021 Placing</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2021 RSU Scheme”</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share unit scheme of the Company approved by the Board on February 2, 2021 for adoption, in its present form or as amended from time to time</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2021 Warrants”</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unlisted warrants issued by the Company to Innovent pursuant to the Warrant Subscription Deed</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2022 RSU Scheme”</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share unit scheme approved by the Board on June 23, 2022 (as amended from time to time)</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2023 Placing”</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of 22,500,000 Shares at a price of HK$24.45 each pursuant to the terms and conditions of the 2023 Placing Agreement</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2023 Placing Agreement”</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agreement entered into among the Company, the Founders SPV, J.P. Morgan Securities (Asia Pacific) Limited, China International Capital Corporation Hong Kong Securities Limited and Citigroup Global Markets Limited dated January 18, 2023 in relation to the 2023 Placing</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2024 Share Subscription”</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the 24,307,322 new Shares issued by the Company under the general mandate by Takeda pursuant to the Securities Purchase Agreement</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2025 Placing”</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of 22,000,000 Shares at a price of HK$68.60 each pursuant to the terms and conditions of the 2025 Placing Agreement</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2025 Placing Agreement”</w:t>
            </w:r>
          </w:p>
        </w:tc>
        <w:tc>
          <w:tcPr>
            <w:tcW w:w="875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placing and subscription agreement entered into among the Company, Dajun Yang Dynasty Trust, J.P. Morgan Securities (Asia Pacific) Limited and Citigroup Global Markets Limited dated July 14, 2025 in relation to the 2025 Placing</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 </w:t>
            </w:r>
          </w:p>
        </w:tc>
        <w:tc>
          <w:tcPr>
            <w:tcW w:w="875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5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AACR”</w:t>
            </w:r>
          </w:p>
        </w:tc>
        <w:tc>
          <w:tcPr>
            <w:tcW w:w="8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Association for Cancer Research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3"/>
        <w:gridCol w:w="8242"/>
      </w:tblGrid>
      <w:tr>
        <w:trPr/>
        <w:tc>
          <w:tcPr>
            <w:tcW w:w="1963"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 each ADS represents 4 Ordinary Shares</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ALK”</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anaplastic lymphoma kinase</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acute lymphoblastic leukemia</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AML”</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acute myelogenous leukemia</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APG-115”</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novel, orally active small molecule MDM2-p53 inhibitor</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APG-1252”</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Pelcitoclax, our novel, highly potent, small molecule drug designed to restore apoptosis, or programmed cell death, through selective inhibition of the Bcl-2/Bcl-xL proteins</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APG-2449”</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third-generation inhibitor of the FAK, ROS1 and ALK kinases</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APG-2575”</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Lisaftoclax (APG-2575), our novel, orally administered Bcl-2 inhibitor</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APG-5918”</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potent, orally available, and selective EED inhibitor</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ASCO”</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Society of Clinical Oncology</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Ascentage”</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collectively, Ascentage Pharma, Ascentage HK, Ascentage GZ, Ascentage SZ</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Ascentage GZ” or “Guangzhou Healthquest”</w:t>
            </w:r>
          </w:p>
        </w:tc>
        <w:tc>
          <w:tcPr>
            <w:tcW w:w="8242"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Guangzhou Healthquest Pharma Co. Ltd.* (</w:t>
            </w:r>
            <w:r>
              <w:rPr>
                <w:rFonts w:eastAsia="Times New Roman;Times;Serif"/>
                <w:b w:val="false"/>
                <w:i w:val="false"/>
                <w:caps w:val="false"/>
                <w:smallCaps w:val="false"/>
                <w:sz w:val="20"/>
              </w:rPr>
              <w:t>廣州順健生物醫藥科技有限公司</w:t>
            </w:r>
            <w:r>
              <w:rPr>
                <w:rFonts w:ascii="Times New Roman;Times;Serif" w:hAnsi="Times New Roman;Times;Serif"/>
                <w:b w:val="false"/>
                <w:i w:val="false"/>
                <w:caps w:val="false"/>
                <w:smallCaps w:val="false"/>
                <w:sz w:val="20"/>
              </w:rPr>
              <w:t>), a company established under the laws of the PRC with limited liability and an indirect wholly-owned subsidiary of the Company</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Ascentage HK”</w:t>
            </w:r>
          </w:p>
        </w:tc>
        <w:tc>
          <w:tcPr>
            <w:tcW w:w="8242"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Ascentage Pharma Group Corp Limited (</w:t>
            </w:r>
            <w:r>
              <w:rPr>
                <w:rFonts w:eastAsia="Times New Roman;Times;Serif"/>
                <w:b w:val="false"/>
                <w:i w:val="false"/>
                <w:caps w:val="false"/>
                <w:smallCaps w:val="false"/>
                <w:sz w:val="20"/>
              </w:rPr>
              <w:t>亞盛醫藥集團</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香港</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有限公司</w:t>
            </w:r>
            <w:r>
              <w:rPr>
                <w:rFonts w:ascii="Times New Roman;Times;Serif" w:hAnsi="Times New Roman;Times;Serif"/>
                <w:b w:val="false"/>
                <w:i w:val="false"/>
                <w:caps w:val="false"/>
                <w:smallCaps w:val="false"/>
                <w:sz w:val="20"/>
              </w:rPr>
              <w:t>), a limited liability company incorporated under the laws of Hong Kong and a wholly-owned subsidiary of the Company</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Ascentage SZ”</w:t>
            </w:r>
          </w:p>
        </w:tc>
        <w:tc>
          <w:tcPr>
            <w:tcW w:w="8242"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Suzhou Ascentage Pharma Co., Ltd.* (</w:t>
            </w:r>
            <w:r>
              <w:rPr>
                <w:rFonts w:eastAsia="Times New Roman;Times;Serif"/>
                <w:b w:val="false"/>
                <w:i w:val="false"/>
                <w:caps w:val="false"/>
                <w:smallCaps w:val="false"/>
                <w:sz w:val="20"/>
              </w:rPr>
              <w:t>蘇州亞盛藥業有限公司</w:t>
            </w:r>
            <w:r>
              <w:rPr>
                <w:rFonts w:ascii="Times New Roman;Times;Serif" w:hAnsi="Times New Roman;Times;Serif"/>
                <w:b w:val="false"/>
                <w:i w:val="false"/>
                <w:caps w:val="false"/>
                <w:smallCaps w:val="false"/>
                <w:sz w:val="20"/>
              </w:rPr>
              <w:t>), a company established under the laws of the PRC with limited liability and an indirect wholly-owned subsidiary of the Company</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AstraZeneca”</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AstraZeneca PLC, a UK-Swedish multinational pharmaceutical and biopharmaceutical company headquartered in the United Kingdom, an Independent Third Party</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Committee”</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Bcl-2”</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B-cell lymphoma 2</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Bcl-2/Bcl-xL”</w:t>
            </w:r>
          </w:p>
        </w:tc>
        <w:tc>
          <w:tcPr>
            <w:tcW w:w="8242"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B-cell lymphoma 2/B-cell lymphoma extra-large; a member of the Bcl-2 family proteins, and acts as an anti-apoptotic protein by preventing the release of mitochondrial contents such as cytochrome c, which leads to caspase activation and ultimately, programmed cell death</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 </w:t>
            </w:r>
          </w:p>
        </w:tc>
        <w:tc>
          <w:tcPr>
            <w:tcW w:w="8242"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96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BCR”</w:t>
            </w:r>
          </w:p>
        </w:tc>
        <w:tc>
          <w:tcPr>
            <w:tcW w:w="82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breakpoint cluster region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5"/>
        <w:gridCol w:w="8580"/>
      </w:tblGrid>
      <w:tr>
        <w:trPr/>
        <w:tc>
          <w:tcPr>
            <w:tcW w:w="1625"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BCR-ABL”</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fusion gene formed by the ABL gene from chromosome 9 joining to the BCR gene on chromosome 22, which is found in most patients with chronic myelogenous leukemia (CML), and in some patients with acute lymphoblastic leukemia (ALL) or acute myelogenous leukemia (AML)</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Committees”</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the Remuneration Committee and the Nomination Committee</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BTK”</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Bruton’s tyrosine kinase</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BVI”</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CDE”</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center of drug evaluation of China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CG Code”</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Code” as contained in Appendix C1 to the Listing Rules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Chairman”</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CLL”</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lymphocytic leukemia; a slowly progressing, liquid form of tumor that causes an excess of white blood cells in the bone marrow, blood, liver, and spleen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Closing”</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under the Securities Purchase Agreement</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CML”</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myeloid/myelogenous leukemia; a type of cancer that affects the blood and bone marrow</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CML-AP”</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accelerated-phase CML</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CML-CP”</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chronic-phase chronic myeloid leukemia</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 “Ascentage Pharma”</w:t>
            </w:r>
          </w:p>
        </w:tc>
        <w:tc>
          <w:tcPr>
            <w:tcW w:w="8580"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Ascentage Pharma Group International (</w:t>
            </w:r>
            <w:r>
              <w:rPr>
                <w:rFonts w:eastAsia="Times New Roman;Times;Serif"/>
                <w:b w:val="false"/>
                <w:i w:val="false"/>
                <w:caps w:val="false"/>
                <w:smallCaps w:val="false"/>
                <w:sz w:val="20"/>
              </w:rPr>
              <w:t>亞盛醫藥集團</w:t>
            </w:r>
            <w:r>
              <w:rPr>
                <w:rFonts w:ascii="Times New Roman;Times;Serif" w:hAnsi="Times New Roman;Times;Serif"/>
                <w:b w:val="false"/>
                <w:i w:val="false"/>
                <w:caps w:val="false"/>
                <w:smallCaps w:val="false"/>
                <w:sz w:val="20"/>
              </w:rPr>
              <w:t>) (stock code: 6855), an exempted company incorporated in the Cayman Islands with limited liability on November 17, 2017</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Concert Party Confirmation Deed”</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concert party confirmation deed dated August 11, 2018 executed by Dr. Yang, Dr. Wang, Dr. Guo, Dr. Zhai, the Founders SPV and the Dr. Zhai SPV, to confirm, agree and acknowledge, among other things, that they are parties acting in concert in relation to our Group since December 5, 2016 and will continue to act in concert after the Listing</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Core Product”</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to it in Chapter 18A of the Listing Rules</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CRc”</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composite complete remission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CRi”</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response with incomplete hematologic recovery</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Director(s)”</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or any one of them</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Guo”</w:t>
            </w:r>
          </w:p>
        </w:tc>
        <w:tc>
          <w:tcPr>
            <w:tcW w:w="8580"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Guo Edward Ming, our Substantial Shareholder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8580"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Sidransky”</w:t>
            </w:r>
          </w:p>
        </w:tc>
        <w:tc>
          <w:tcPr>
            <w:tcW w:w="8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David Sidransky, an independent non-executive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8"/>
        <w:gridCol w:w="8817"/>
      </w:tblGrid>
      <w:tr>
        <w:trPr/>
        <w:tc>
          <w:tcPr>
            <w:tcW w:w="1388"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Wang”</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Wang Shaomeng, our non-executive Director and Substantial Shareholder</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Yang”</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Yang Dajun, our executive Director, Chairman, chief executive officer, a Substantial Shareholder, and spouse of Dr. Zhai</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Zhai”</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Zhai Yifan, our chief medical officer, Substantial Shareholder, and spouse of Dr. Yang</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Dr. Zhai SPV”</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HealthQuest Pharma Limited, a company incorporated in BVI with limited liability and wholly owned by Dr. Zhai (for herself and as settlor of the Zhai Family Trust), our Substantial Shareholder</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EED”</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Embryonic Ectoderm Development</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EGFR”</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epidermal growth factor receptor</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EU”</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Union</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Exclusive Option Agreement”</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option agreement dated June 14, 2024 entered into among the Group and Takeda in relation to, among other things, research, development, import, export, manufacture, usage, commercialization and exploitation of olverembatinib</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FAK”</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focal adhesion kinase; an enzyme involved in cellular adhesion (how cells stick to each other and their surroundings) and spreading processes (how cells move around)</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FDA”</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Food and Drug Administration</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Founders Family Trusts”</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Yang Family Trust, Wang Family Trust and Guo Family Trust</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Founders SPV”</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Limited (now dissolved), a company incorporated in BVI with limited liability which is owned by Dr. Yang (for himself and as settlor of the Yang Family Trust) as to 45.53%, Dr. Guo (for himself and as settlor of the Guo Family Trust) as to 27.69% and Dr. Wang (for himself and as settlor of the Wang Family Trust) as to 26.78%, and as at the date of this interim report, our Substantial Shareholder</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FVTPL”</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through profit or loss</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GIST”</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gastrointestinal stromal tumor</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Global Offering”</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public offering and international offering as described in the Prospectus</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GMP”</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Manufacturing Practices</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Group”, “we”, “our” or “us”</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from time to time</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Guo Family Trust”</w:t>
            </w:r>
          </w:p>
        </w:tc>
        <w:tc>
          <w:tcPr>
            <w:tcW w:w="8817"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 Edward Guo Dynasty Trust, a discretionary family trust established by Dr. Guo as settlor for the benefit of Dr. Guo’s family members, of which South Dakota Trust is a trustee</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 </w:t>
            </w:r>
          </w:p>
        </w:tc>
        <w:tc>
          <w:tcPr>
            <w:tcW w:w="8817"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88"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Healthquest Pharma”</w:t>
            </w:r>
          </w:p>
        </w:tc>
        <w:tc>
          <w:tcPr>
            <w:tcW w:w="8817" w:type="dxa"/>
            <w:tcBorders/>
            <w:vAlign w:val="center"/>
          </w:tcPr>
          <w:p>
            <w:pPr>
              <w:pStyle w:val="TableContents"/>
              <w:bidi w:val="0"/>
              <w:spacing w:before="0" w:after="283"/>
              <w:jc w:val="both"/>
              <w:rPr>
                <w:caps w:val="false"/>
                <w:smallCaps w:val="false"/>
              </w:rPr>
            </w:pPr>
            <w:r>
              <w:rPr>
                <w:rFonts w:ascii="Times New Roman;Times;Serif" w:hAnsi="Times New Roman;Times;Serif"/>
                <w:b w:val="false"/>
                <w:i w:val="false"/>
                <w:caps w:val="false"/>
                <w:smallCaps w:val="false"/>
                <w:sz w:val="20"/>
              </w:rPr>
              <w:t>Guangzhou Healthquest Pharma Co., Ltd. (</w:t>
            </w:r>
            <w:r>
              <w:rPr>
                <w:rFonts w:eastAsia="Times New Roman;Times;Serif"/>
                <w:b w:val="false"/>
                <w:i w:val="false"/>
                <w:caps w:val="false"/>
                <w:smallCaps w:val="false"/>
                <w:sz w:val="20"/>
              </w:rPr>
              <w:t>廣州順健生物醫藥科技有限公司</w:t>
            </w:r>
            <w:r>
              <w:rPr>
                <w:rFonts w:ascii="Times New Roman;Times;Serif" w:hAnsi="Times New Roman;Times;Serif"/>
                <w:b w:val="false"/>
                <w:i w:val="false"/>
                <w:caps w:val="false"/>
                <w:smallCaps w:val="false"/>
                <w:sz w:val="20"/>
              </w:rPr>
              <w:t>), a limited liability company incorporated in the PRC on July 3, 2012, our indirectly wholly-owned subsidiary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9"/>
        <w:gridCol w:w="8196"/>
      </w:tblGrid>
      <w:tr>
        <w:trPr/>
        <w:tc>
          <w:tcPr>
            <w:tcW w:w="2009"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HKD”, “HK$” or “Hong Kong dollars”</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dollars, the lawful currency of Hong Kong</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Hong Kong Special Administrative Region of the PRC</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HQP1351”</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D824, or GZD824; Olverembatinib, our third-generation BCR-ABL inhibitor, which was designed to overcome drug resistance caused by BCR-ABL kinase mutants such as T315I mutants</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IAP”</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inhibitors of apoptosis protein</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IFRS”</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from time to time by the International Accounting Standards Board</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Auditor”</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Innovent Biologics” or “Innovent”</w:t>
            </w:r>
          </w:p>
        </w:tc>
        <w:tc>
          <w:tcPr>
            <w:tcW w:w="8196"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Innovent Biologics, Inc. (</w:t>
            </w:r>
            <w:r>
              <w:rPr>
                <w:rFonts w:eastAsia="Times New Roman;Times;Serif"/>
                <w:b w:val="false"/>
                <w:i w:val="false"/>
                <w:caps w:val="false"/>
                <w:smallCaps w:val="false"/>
                <w:sz w:val="20"/>
              </w:rPr>
              <w:t>信達生物製藥</w:t>
            </w:r>
            <w:r>
              <w:rPr>
                <w:rFonts w:ascii="Times New Roman;Times;Serif" w:hAnsi="Times New Roman;Times;Serif"/>
                <w:b w:val="false"/>
                <w:i w:val="false"/>
                <w:caps w:val="false"/>
                <w:smallCaps w:val="false"/>
                <w:sz w:val="20"/>
              </w:rPr>
              <w:t>), an exempted company incorporated in the Cayman Islands with limited liability, the shares of which are listed on the Main Board of the Stock Exchange (stock code: 1801)</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Innovent Suzhou”</w:t>
            </w:r>
          </w:p>
        </w:tc>
        <w:tc>
          <w:tcPr>
            <w:tcW w:w="8196" w:type="dxa"/>
            <w:tcBorders/>
            <w:vAlign w:val="center"/>
          </w:tcPr>
          <w:p>
            <w:pPr>
              <w:pStyle w:val="TableContents"/>
              <w:bidi w:val="0"/>
              <w:spacing w:before="0" w:after="283"/>
              <w:ind w:left="0" w:right="0" w:hanging="180"/>
              <w:jc w:val="both"/>
              <w:rPr>
                <w:caps w:val="false"/>
                <w:smallCaps w:val="false"/>
              </w:rPr>
            </w:pPr>
            <w:r>
              <w:rPr>
                <w:rFonts w:ascii="Times New Roman;Times;Serif" w:hAnsi="Times New Roman;Times;Serif"/>
                <w:b w:val="false"/>
                <w:i w:val="false"/>
                <w:caps w:val="false"/>
                <w:smallCaps w:val="false"/>
                <w:sz w:val="20"/>
              </w:rPr>
              <w:t>Innovent Biologics (Suzhou) Co., Ltd. (</w:t>
            </w:r>
            <w:r>
              <w:rPr>
                <w:rFonts w:eastAsia="Times New Roman;Times;Serif"/>
                <w:b w:val="false"/>
                <w:i w:val="false"/>
                <w:caps w:val="false"/>
                <w:smallCaps w:val="false"/>
                <w:sz w:val="20"/>
              </w:rPr>
              <w:t>信達生物製藥</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蘇州</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有限公司</w:t>
            </w:r>
            <w:r>
              <w:rPr>
                <w:rFonts w:ascii="Times New Roman;Times;Serif" w:hAnsi="Times New Roman;Times;Serif"/>
                <w:b w:val="false"/>
                <w:i w:val="false"/>
                <w:caps w:val="false"/>
                <w:smallCaps w:val="false"/>
                <w:sz w:val="20"/>
              </w:rPr>
              <w:t>), a company with limited liability established under the laws of the PRC and controlled by Innovent Biologics</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IP”</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Listing”</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listing of the Shares on the Main Board of the Stock Exchange</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Listing Date”</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28, 2019, on which the Shares were listed and from which dealings therein were permitted to take place on the Stock Exchange</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Listing Rules”</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Governing the Listing of Securities on The Stock Exchange of Hong Kong Limited (as amended from time to time)</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Main Board”</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 (excluding the option market) operated by the Stock Exchange which is independent from and operates in parallel with the Growth Enterprise Market of the Stock Exchange</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MDM2”</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Murine Double Minute 2</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MDS”</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myelodysplastic syndrome; group of cancers in which immature blood cells in the bone marrow do not mature and therefore do not become healthy blood cells</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MM”</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myeloma</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Model Code”</w:t>
            </w:r>
          </w:p>
        </w:tc>
        <w:tc>
          <w:tcPr>
            <w:tcW w:w="819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“Model Code for Securities Transactions by Directors of Listed Issuers” set out in Appendix C3 to the Listing Rules</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 </w:t>
            </w:r>
          </w:p>
        </w:tc>
        <w:tc>
          <w:tcPr>
            <w:tcW w:w="819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0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Mr. Ren”</w:t>
            </w:r>
          </w:p>
        </w:tc>
        <w:tc>
          <w:tcPr>
            <w:tcW w:w="81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Ren Wei, an independent non-executive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6"/>
        <w:gridCol w:w="8119"/>
      </w:tblGrid>
      <w:tr>
        <w:trPr/>
        <w:tc>
          <w:tcPr>
            <w:tcW w:w="2086"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Mr. Ye”</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Ye Changqing, an independent non-executive Director</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NASDAQ” or “Nasdaq”</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Association of Securities Dealers Automated Quotations</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NCCN”</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Comprehensive Cancer Network</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NDA”</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Drug Application</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NHL”</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non-Hodgkin’s lymphoma</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NMPA”</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Medical Products Administration of the PRC, formerly known as the China National Drug Administration, or CNDA, and the China Food and Drug Administration, or CFDA</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Nomination Committee”</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nomination committee of the Board</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NRDL”</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National Reimbursement Drug List</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NSCLC”</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non-small cell lung cancer</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ODD”</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 Drug Designations</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Option”</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option granted by Ascentage to Takeda to enter into an exclusive license agreement, pursuant to the terms of the Exclusive Option Agreement</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ORR”</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response rate</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PCR”</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polymerase chain reaction</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PD-1”</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programmed cell death protein 1, a cell surface receptor that belongs to the immunoglobulin superfamily and is expressed on T cells and pro-B cells</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Ph+ ALL”</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positive acute lymphoblastic leukemia</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PMDA”</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Pharmaceuticals and Medical Devices Agency</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Post IPO Share Option Scheme”</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 IPO share option scheme approved by the Board on September 28, 2019 as amended from time to time</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PRC” or “China” or “Mainland China”</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 and for the purposes of this interim report only, except where the context requires otherwise, references to China or the PRC exclude Hong Kong, Macau and Taiwan</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Pre-IPO Share Option Scheme”</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pre-IPO share option scheme approved by the Board on July 13, 2018 as amended from time to time</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Prospectus”</w:t>
            </w:r>
          </w:p>
        </w:tc>
        <w:tc>
          <w:tcPr>
            <w:tcW w:w="8119"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of the Company dated October 16, 2019</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 </w:t>
            </w:r>
          </w:p>
        </w:tc>
        <w:tc>
          <w:tcPr>
            <w:tcW w:w="8119"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0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R&amp;D”</w:t>
            </w:r>
          </w:p>
        </w:tc>
        <w:tc>
          <w:tcPr>
            <w:tcW w:w="81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9"/>
        <w:gridCol w:w="7916"/>
      </w:tblGrid>
      <w:tr>
        <w:trPr/>
        <w:tc>
          <w:tcPr>
            <w:tcW w:w="2289"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R/R” or “r/r”</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disease or condition which becomes progressive after treatment (relapsed) or does not respond to the initial treatment (refractory)</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Remuneration Committee”</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committee of the Board</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Reporting Period”</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six-month period from January 1, 2026 to June 30, 2026</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Renminbi, the lawful currency of the PRC</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ROS1”</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receptor tyrosine kinase with structural similarity to the ALK protein</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RSU(s)”</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share unit(s)</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SCLC”</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 cell lung cancer</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SDH-”</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succinate dehydrogenase</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Purchase Agreement”</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dated June 14, 2024 entered into between the Company and Takeda in relation to the 2024 Share Subscription</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Selected Person(s)”</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person(s) selected by the Board to be granted RSUs under the 2018, 2021 and 2022 RSU Scheme at its discretion</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SFO”</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Futures Ordinance (Chapter 571 of the Laws of Hong Kong), as amended, supplemented or otherwise modified from time to time</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of US$0.0001 par value each in the share capital of the Company</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Purchase Price”</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HK$24.09850 (equivalent to approximately US$3.08549), which is the share purchase price for each Subscription Share under the Securities Purchase Agreement</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 Subscription Conditions Precedent”</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precedent to the 2024 Share Subscription</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SLL”</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 lymphocytic leukemia</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South Dakota Trust”</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Dakota Trust Company LLC, the trustee of each of Founders Family Trusts and Zhai Family Trust</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Stock Exchange”</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 of Hong Kong Limited, a wholly-owned subsidiary of Hong Kong Exchanges and Clearing Limited</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Subscription Shares”</w:t>
            </w:r>
          </w:p>
        </w:tc>
        <w:tc>
          <w:tcPr>
            <w:tcW w:w="7916"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24,307,322 shares which the Company agreed to issue and allot, and Takeda agreed to subscribe pursuant to the Securities Purchase Agreement</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 </w:t>
            </w:r>
          </w:p>
        </w:tc>
        <w:tc>
          <w:tcPr>
            <w:tcW w:w="7916"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2289"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Substantial Shareholder(s)”</w:t>
            </w:r>
          </w:p>
        </w:tc>
        <w:tc>
          <w:tcPr>
            <w:tcW w:w="7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ascribed to it under the Listing Rules and unless the context otherwise requires refers to Dr. Yang, Dr. Guo, Dr. Wang, the Founders SPV, Dr. Zhai and HealthQuest Pharma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2"/>
        <w:gridCol w:w="8803"/>
      </w:tblGrid>
      <w:tr>
        <w:trPr/>
        <w:tc>
          <w:tcPr>
            <w:tcW w:w="1402" w:type="dxa"/>
            <w:tcBorders/>
            <w:vAlign w:val="center"/>
          </w:tcPr>
          <w:p>
            <w:pPr>
              <w:pStyle w:val="TableContents"/>
              <w:bidi w:val="0"/>
              <w:spacing w:before="0" w:after="283"/>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T315I”</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type of mutation that sometimes results in the failure of tyrosine kinase inhibitor (TKI) treatment</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Takeda”</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Takeda Pharmaceuticals International AG, a company established under the laws of Switzerland</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TKIs”</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tyrosine kinase inhibitor; a type of pharmaceutical drug that inhibits tyrosine kinases</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Trustee”</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trustee(s) to be appointed by the Board to hold Shares for the purpose of the 2021 RSU Scheme and 2022 RSU Scheme</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United States” or “U.S.”</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of America, its territories, its possession and all areas subject to its jurisdiction</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USD”, “US$” or “U.S. dollars”</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dollars, the lawful currency of the United States</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Wang Family Trust”</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Shaomeng Wang Dynasty Trust, a discretionary family trust established by Dr. Wang as settlor for the benefits of Dr. Wang’s family members, of which South Dakota Trust is a trustee</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6,787,587 unlisted warrants, each conferring to Innovent the right to subscribe for one (1) new Share at the Warrant Exercise Price during the period commencing on the date of issuance of the Warrants and ending on the date that is 24 months after the date of issuance of the Warrants, in accordance with the terms and conditions of the Warrant Subscription Deed entered into between the Company and Innovent on July 14, 2021</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Exercise Price”</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per Warrant (subject to adjustment) at which the holder of each Warrant may subscribe for a Warrant Share</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Share(s)”</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initially 6,787,587 new Shares (subject to adjustment) to be allotted and issued upon exercise of the subscription rights attaching to the Warrants</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Subscription”</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of the Warrants by Innovent pursuant to the Warrant Subscription Deed</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Warrant Subscription Deed”</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subscription deed dated July 14, 2021 entered into between the Company and Innovent in relation to the Warrant Subscription</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WM”</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waldenstrom macroglobulinemia</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Yang Family Trust”</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Dajun Yang Dynasty Trust, a discretionary family trust established by Dr. Yang as settlor for the benefits of Dr. Yang’s family members, of which South Dakota Trust is a trustee</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Zhai Family Trust”</w:t>
            </w:r>
          </w:p>
        </w:tc>
        <w:tc>
          <w:tcPr>
            <w:tcW w:w="880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Zhai Dynasty Trust, a discretionary family trust established by Dr. Zhai as settlor for the benefits of Dr. Zhai’s family members, of which South Dakota Trust is a trustee</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 </w:t>
            </w:r>
          </w:p>
        </w:tc>
        <w:tc>
          <w:tcPr>
            <w:tcW w:w="880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40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t>
            </w:r>
          </w:p>
        </w:tc>
        <w:tc>
          <w:tcPr>
            <w:tcW w:w="88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cent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interim report, unless otherwise indicated, the terms “associate”, “associated corporation”, “connected person”, “controlling shareholder”, “subsidiary” and “substantial shareholder” shall have the meanings given to such terms in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4490"/>
        <w:gridCol w:w="4430"/>
      </w:tblGrid>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Executive Director</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RESEARCH AND DEVELOPMENT COMMITTEE</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Dr. Yang Dajun </w:t>
            </w:r>
            <w:r>
              <w:rPr>
                <w:rFonts w:ascii="Times New Roman;Times;Serif" w:hAnsi="Times New Roman;Times;Serif"/>
                <w:i/>
                <w:sz w:val="20"/>
              </w:rPr>
              <w:t>(Chairman and chief executive officer)</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Dr. Marc E. Lippman, MD </w:t>
            </w:r>
            <w:r>
              <w:rPr>
                <w:rFonts w:ascii="Times New Roman;Times;Serif" w:hAnsi="Times New Roman;Times;Serif"/>
                <w:i/>
                <w:sz w:val="20"/>
              </w:rPr>
              <w:t>(Chairman)</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David Sidransky</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Non-executive Directors</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Shaomeng Wang</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Wang Shaomeng</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Lu Simon Dazhong</w:t>
            </w:r>
            <w:r>
              <w:rPr>
                <w:rFonts w:ascii="Times New Roman;Times;Serif" w:hAnsi="Times New Roman;Times;Serif"/>
                <w:i/>
                <w:position w:val="7"/>
                <w:sz w:val="16"/>
                <w:sz w:val="20"/>
              </w:rPr>
              <w:t>(Note)</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AUDITOR</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Ernst &amp; Young</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Independent non-executive Directors</w:t>
            </w:r>
          </w:p>
        </w:tc>
        <w:tc>
          <w:tcPr>
            <w:tcW w:w="44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Certified Public Accountants</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Ye Changqing</w:t>
            </w:r>
          </w:p>
        </w:tc>
        <w:tc>
          <w:tcPr>
            <w:tcW w:w="44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Registered Public Interest Entity Auditor</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Ren Wei</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27/F, One Taikoo Place</w:t>
            </w:r>
          </w:p>
        </w:tc>
      </w:tr>
      <w:tr>
        <w:trPr/>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David Sidransky</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979 King’s Road</w:t>
            </w:r>
          </w:p>
        </w:tc>
      </w:tr>
      <w:tr>
        <w:trPr/>
        <w:tc>
          <w:tcPr>
            <w:tcW w:w="4490" w:type="dxa"/>
            <w:tcBorders/>
            <w:vAlign w:val="center"/>
          </w:tcPr>
          <w:p>
            <w:pPr>
              <w:pStyle w:val="TableContents"/>
              <w:bidi w:val="0"/>
              <w:spacing w:before="0" w:after="283"/>
              <w:jc w:val="left"/>
              <w:rPr/>
            </w:pPr>
            <w:r>
              <w:rPr/>
              <w:t> </w:t>
            </w:r>
            <w:r>
              <w:rPr>
                <w:rFonts w:ascii="Times New Roman;Times;Serif" w:hAnsi="Times New Roman;Times;Serif"/>
                <w:i/>
                <w:sz w:val="20"/>
              </w:rPr>
              <w:t>(lead independent non-executive Director)</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Quarry Bay, Hong Kong</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Marina S. Bozilenko</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Debra Yu</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REGISTERED OFFICE</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Marc E. Lippman, MD</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Walkers Corporate Limited</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190 Elgin Avenue</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COMPANY SECRETARY</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Town</w:t>
            </w:r>
          </w:p>
        </w:tc>
      </w:tr>
      <w:tr>
        <w:trPr/>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Ms. Leung Hoi Yan, </w:t>
            </w:r>
            <w:r>
              <w:rPr>
                <w:rFonts w:ascii="Times New Roman;Times;Serif" w:hAnsi="Times New Roman;Times;Serif"/>
                <w:i/>
                <w:sz w:val="20"/>
              </w:rPr>
              <w:t>CPA</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Grand Cayman KY1-9008</w:t>
            </w:r>
          </w:p>
        </w:tc>
      </w:tr>
      <w:tr>
        <w:trPr/>
        <w:tc>
          <w:tcPr>
            <w:tcW w:w="4490" w:type="dxa"/>
            <w:tcBorders/>
            <w:vAlign w:val="center"/>
          </w:tcPr>
          <w:p>
            <w:pPr>
              <w:pStyle w:val="TableContents"/>
              <w:bidi w:val="0"/>
              <w:spacing w:before="0" w:after="283"/>
              <w:jc w:val="left"/>
              <w:rPr/>
            </w:pPr>
            <w:r>
              <w:rPr/>
              <w:t> </w:t>
            </w:r>
            <w:r>
              <w:rPr>
                <w:rFonts w:ascii="Times New Roman;Times;Serif" w:hAnsi="Times New Roman;Times;Serif"/>
                <w:i/>
                <w:sz w:val="20"/>
              </w:rPr>
              <w:t>(appointed with effect from April 1, 2026)</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Chan Charmayne, ACG (CS, CGP), HKACG</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r>
              <w:rPr>
                <w:rFonts w:ascii="Times New Roman;Times;Serif" w:hAnsi="Times New Roman;Times;Serif"/>
                <w:sz w:val="20"/>
              </w:rPr>
              <w:t xml:space="preserve">(CS, CGP) </w:t>
            </w:r>
            <w:r>
              <w:rPr>
                <w:rFonts w:ascii="Times New Roman;Times;Serif" w:hAnsi="Times New Roman;Times;Serif"/>
                <w:i/>
                <w:sz w:val="20"/>
              </w:rPr>
              <w:t>(resigned with effect from April 1, 2026)</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HEADQUARTERS AND PRINCIPAL PLACE OF</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BUSINESS IN THE PRC</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AUTHORISED REPRESENTATIVES</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 Xinqing Road</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Yang Dajun</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Suzhou Industrial Park</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Ms. Leung Hoi Yan, </w:t>
            </w:r>
            <w:r>
              <w:rPr>
                <w:rFonts w:ascii="Times New Roman;Times;Serif" w:hAnsi="Times New Roman;Times;Serif"/>
                <w:i/>
                <w:sz w:val="20"/>
              </w:rPr>
              <w:t>CPA</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Suzhou, Jiangsu</w:t>
            </w:r>
          </w:p>
        </w:tc>
      </w:tr>
      <w:tr>
        <w:trPr/>
        <w:tc>
          <w:tcPr>
            <w:tcW w:w="4490" w:type="dxa"/>
            <w:tcBorders/>
            <w:vAlign w:val="center"/>
          </w:tcPr>
          <w:p>
            <w:pPr>
              <w:pStyle w:val="TableContents"/>
              <w:bidi w:val="0"/>
              <w:spacing w:before="0" w:after="283"/>
              <w:jc w:val="both"/>
              <w:rPr/>
            </w:pPr>
            <w:r>
              <w:rPr/>
              <w:t> </w:t>
            </w:r>
            <w:r>
              <w:rPr>
                <w:rFonts w:ascii="Times New Roman;Times;Serif" w:hAnsi="Times New Roman;Times;Serif"/>
                <w:i/>
                <w:sz w:val="20"/>
              </w:rPr>
              <w:t>(appointed with effect from April 1, 2026)</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r>
      <w:tr>
        <w:trPr/>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Chan Charmayne, ACG (CS, CGP), HKACG</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r>
              <w:rPr>
                <w:rFonts w:ascii="Times New Roman;Times;Serif" w:hAnsi="Times New Roman;Times;Serif"/>
                <w:sz w:val="20"/>
              </w:rPr>
              <w:t xml:space="preserve">(CS, CGP) </w:t>
            </w:r>
            <w:r>
              <w:rPr>
                <w:rFonts w:ascii="Times New Roman;Times;Serif" w:hAnsi="Times New Roman;Times;Serif"/>
                <w:i/>
                <w:sz w:val="20"/>
              </w:rPr>
              <w:t>(resigned with effect from April 1, 2026)</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PLACE OF BUSINESS IN</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HONG KONG</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AUDIT COMMITTEE</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 906, 9/F</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Ye Changqing </w:t>
            </w:r>
            <w:r>
              <w:rPr>
                <w:rFonts w:ascii="Times New Roman;Times;Serif" w:hAnsi="Times New Roman;Times;Serif"/>
                <w:i/>
                <w:sz w:val="20"/>
              </w:rPr>
              <w:t>(Chairman)</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Haleson Building</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Lu Simon Dazhong</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Jubilee Street</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Marina S. Bozilenko</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Central, Hong Kong</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REMUNERATION COMMITTEE</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BANKER</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Mr. Ren Wei </w:t>
            </w:r>
            <w:r>
              <w:rPr>
                <w:rFonts w:ascii="Times New Roman;Times;Serif" w:hAnsi="Times New Roman;Times;Serif"/>
                <w:i/>
                <w:sz w:val="20"/>
              </w:rPr>
              <w:t>(Chairman)</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(Hong Kong) Limited</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Ye Changqing</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Garden Road</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Debra Yu</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4490" w:type="dxa"/>
            <w:tcBorders/>
            <w:vAlign w:val="center"/>
          </w:tcPr>
          <w:p>
            <w:pPr>
              <w:pStyle w:val="TableContents"/>
              <w:bidi w:val="0"/>
              <w:spacing w:before="0" w:after="283"/>
              <w:jc w:val="both"/>
              <w:rPr/>
            </w:pPr>
            <w:r>
              <w:rPr/>
              <w:t> </w:t>
            </w:r>
          </w:p>
        </w:tc>
        <w:tc>
          <w:tcPr>
            <w:tcW w:w="443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NOMINATION COMMITTEE</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HONG KONG LEGAL ADVISER</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Dr. David Sidransky </w:t>
            </w:r>
            <w:r>
              <w:rPr>
                <w:rFonts w:ascii="Times New Roman;Times;Serif" w:hAnsi="Times New Roman;Times;Serif"/>
                <w:i/>
                <w:sz w:val="20"/>
              </w:rPr>
              <w:t>(Chairman)</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Sonsini Goodrich &amp; Rosati</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Ren Wei</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1509, 15/F, Jardine House</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Marc E. Lippman, MD</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Connaught Place, Central</w:t>
            </w:r>
          </w:p>
        </w:tc>
      </w:tr>
      <w:tr>
        <w:trPr/>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Debra Yu</w:t>
            </w:r>
          </w:p>
        </w:tc>
        <w:tc>
          <w:tcPr>
            <w:tcW w:w="4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SHARE REGISTRAR AND</w:t>
            </w:r>
          </w:p>
        </w:tc>
      </w:tr>
      <w:tr>
        <w:trPr/>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OFFICE</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Walkers Corporate Limited</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190 Elgin Avenue</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George Town</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Grand Cayman KY1-9008</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Cayman Islands</w:t>
            </w:r>
          </w:p>
        </w:tc>
      </w:tr>
      <w:tr>
        <w:trPr/>
        <w:tc>
          <w:tcPr>
            <w:tcW w:w="345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HONG KONG SHARE REGISTRAR</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Tricor Investor Services Limited</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17/F, Far East Finance Centre</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 Harcourt Road</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r>
        <w:trPr/>
        <w:tc>
          <w:tcPr>
            <w:tcW w:w="345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 CODE</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HKEX: 6855</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NASDAQ: AAPG</w:t>
            </w:r>
          </w:p>
        </w:tc>
      </w:tr>
      <w:tr>
        <w:trPr/>
        <w:tc>
          <w:tcPr>
            <w:tcW w:w="345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WEBSITE</w:t>
            </w:r>
          </w:p>
        </w:tc>
      </w:tr>
      <w:tr>
        <w:trPr/>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www.ascentage.com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84"/>
        <w:gridCol w:w="9683"/>
      </w:tblGrid>
      <w:tr>
        <w:trPr/>
        <w:tc>
          <w:tcPr>
            <w:tcW w:w="3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w:t>
            </w:r>
          </w:p>
        </w:tc>
        <w:tc>
          <w:tcPr>
            <w:tcW w:w="9683"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Lu Simon Dazhong satisfies the independence requirements of the U.S. Securities and Exchange Commission and Nasdaq corporate governance requirements.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Financial Highlights</w:t>
      </w:r>
    </w:p>
    <w:p>
      <w:pPr>
        <w:pStyle w:val="TextBody"/>
        <w:bidi w:val="0"/>
        <w:spacing w:before="0" w:after="0"/>
        <w:ind w:left="360"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 for the six months ended June 30, 2026 was RMB302.2 million (US$44.5 million), compared to RMB233.7 million (US$32.6 million) for the six months ended June 30, 2025, which represents an increase of RMB68.5 million (US$11.9 million), or 29.3% on a constant exchange rate (CER) basis, as compared to the six months ended June 30, 2025, primarily because product sales increased by RMB69.5 million (US$11.9 million), or 32.6%, to RMB282.4 million (US$41.6 million) for the six months ended June 30, 2026, compared to RMB212.9 million (US$29.7 million)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operating expenses for the six months ended June 30, 2026 increased by RMB276.7 million (US$46.7 million), or 36.1% to RMB1,042.7 million (US$153.7 million), as compared to the same period of 2025. Research and development expenses increased by RMB168.9 million (US$29.0 million), or 32.0%, to RMB697.5 million (US$102.8 million) for the six months ended June 30, 2026, compared to RMB528.6 million (US$73.8 million) for the six months ended June 30, 2025, primarily attributable to progress in our ongoing global clinical trials. Selling and distribution expenses increased by RMB88.6 million (US$14.2 million), or 64.3%, to RMB226.4 million (US$33.4 million) for the six months ended June 30, 2026, primarily attributable to increased marketing and promotion investment for Lisaftoclax. Net loss was RMB817.0 million (US$120.4 million) for the six months ended June 30, 2026, compared to loss of RMB590.8 million (US$82.5 million) for the six months ended June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at June 30, 2026, the Group’s cash and bank balances were RMB1,895.6 million (US$279.4 million), or a decrease of RMB574.5 million (US$73.8 million), or 23.3% on a constant exchange rate (CER) basis compared with RMB2,470.1 million (US$353.2 million) as at December 31, 2025, which was primarily attributable to ongoing operating expenses associated with global clinical trials as well as research and development.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Business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Dr. Faiçal Miyara as Chief Business Officer and Jim Ziegler as Chief Commercial Officer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3, 2026, we appointed Dr. Faiçal Miyara as Chief Business Officer (CBO), responsible for the Company’s global business development, and Jim Ziegler as Chief Commercial Officer (CCO), responsible for the commercialization of the Company’s products in the United States and other countries outside of China. Appointments put dedicated leadership behind two separate priorities: building Ascentage Pharma’s own commercial organization in the United States, and expanding its global business development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“B” marker from stock short name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May 27, 2026, we announced that we have satisfied the market capitalisation/revenue test under Rule 8.05(3) of the Listing Rules. The Company has obtained approval from the Stock Exchange for the disapplication of Rules 18A.09 to 18A.11 of the Listing Rules, and has thereby formally removed the “B” marker from its English and Chinese stock short name with effect from June 1, 2026. This change signifies that Ascentage Pharma has met higher thresholds in terms of market capitalisation and revenue, marking another major milestone in the Company’s development journey.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BTK-targeted protein degrader, APG-3288, has received investigational new drug (IND) application clearance from the U.S. FDA and China Center for Drug Evaluation (CDE) and we are conducting a clinical study in patients with relapsed/refractory hematologic malignancies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January 2026, we announced that APG-3288, our proprietary BTK-targeted protein degrader, received IND clearance from the U.S. FDA. In addition, we announced in February 2026 that the CDE provided clearance for APG-3288. We are conducting a multicenter, open-label Phase I study designed to evaluate the safety, tolerability, pharmacokinetic (PK) profile, and preliminary efficacy of APG-3288 in patients with relapsed/refractory hematologic malignancies.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of any of the foregoing, please refer to the rest of this interim report and, where applicable, the Company’s prior announcements published on the websites of the Stock Exchange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Management Discussion and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commercial-stage, integrated biopharmaceutical company engaged in the discovery, development, and commercialization of novel, differentiated therapies to address unmet medical needs in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two approved oncology drug products, Olverembatinib and Lisaftoclax, were developed by the Company to treat multiple major hematologic malignancies as well as solid tumors that occur globally. Currently, for hematologic malignancies, Olverembatinib is directed toward or intended to address chronic myeloid leukemia, or CML, and acute lymphocytic leukemia, or ALL, and Lisaftoclax is directed towards or intended to address chronic lymphocytic leukemia, or CLL, small lymphocytic lymphoma, or SLL, acute myeloid leukemia, or AML, and higher-risk myelodysplastic syndrome, or HR-MDS. These particular hematologic diseases alone are expected to exceed US$166 billion in aggregate market size by 2035, according to an industry report commissioned by us and independently prepared by Frost &amp; Sullivan, or the F&amp;S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Olverembatinib, is a novel, third-generation tyrosine kinase inhibitor, or TKI, that was the first BCR-ABL1 TKI approved in China for treatment of patients with CML in chronic phase, or CML-CP, with T315I mutations, CML in accelerated phase, or CML-AP, with T315I mutations, and CML-CP that is resistant and/or intolerant to first and second-generation TKIs. We are currently commercializing Olverembatinib in China. Since January 2025, all approved indications of Olverembatinib by the CDE have been included in the NRDL, which bolstered the affordability and accessibility of the drug in China. We are currently conducting an FDA and European Medicines Agency (EMA)-cleared, global Phase III registrational trial, called POLARIS-2, of Olverembatinib in patients with CML that has previously been treated with at least two TKIs, and currently conducting an FDA and EMA-cleared, global Phase III registrational trial, called POLARIS-1 of Olverembatinib in patients with newly diagnosed Philadelphia chromosome-positive (Ph+) ALL. In addition, we are conducting multinational Phase III registrational trial for patients with succinate dehydrogenase- (SDH-) deficient gastrointestinal stromal tumor (GIST) (POLARIS-3).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product, Lisaftoclax, is a novel Bcl-2 inhibitor whose approval we announced on July 10, 2025, by the NMPA for the treatment of adult patients with CLL/SLL who have previously received at least one systemic therapy including BTK inhibitors. This milestone makes Lisaftoclax the first Bcl-2 inhibitor receiving conditional approval and marketing authorization for the treatment of patients with CLL/SLL in China, and the second Bcl-2 inhibitor ever to be commercially approved. We are also currently conducting four registrational Phase III clinical trials of Lisaftoclax: (1) the global GLORA study of Lisaftoclax in combination with BTK inhibitors in patients with CLL/SLL previously treated with BTK inhibitors for more than 12 months with suboptimal response, (2) the multinational GLORA-2 study in combination with acalabrutinib in patients with newly diagnosed CLL/SLL, (3) the multinational GLORA-3 study in combination with azacitidine, or AZA, in elderly and unfit patients with newly diagnosed AML; and (4) the global GLORA-4 study in combination with AZA in patients with newly diagnosed HR-MDS.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central strategy has been to leverage our expertise in chemistry to synthesize inhibitors targeting proteins and pathways that drive the key hallmarks of cancer. Beyond our two leading products, we have several other clinical-stage assets in U.S., Chinese, and international clinical trials. As of the date of this interim report, we have utilized our knowledge of small-molecule discovery together with our ability to execute clinical trials globally to develop novel treatments to address unmet medical needs in cancer. Supported by our strong scientific foundation, we use state-of-the-art technologies to discover and develop innovative therapeutic agents directed toward underserved patient populations.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our technical expertise in structure-based drug design and our innovative drug discovery engine, which allows us to address unmet medical needs by targeting key apoptotic pathways and tyrosine kinases that have been validated in the field. These core competencies have allowed us to develop small-molecule and disease target degrader candidate therapeutics against a range of well-characterized apoptotic targets including Bcl-2, Bcl-2/Bcl-xL, inhibitor of apoptosis protein (IAP), and mouse double minute homolog-2-tissue protein 53 (MDM2-p53). In addition, we are building next-generation cell signaling inhibitor candidates (i.e., BCR-ABL1, ALK, FAK, ROS inhibitors) as well as epigenetic-modifying agents (i.e., Polycomb Repressive Complex-2 PRC2 inhibitor). In earlier stages of our pipeline, we are harnessing our deep understanding of protein degraders to develop a wide range of therapeutic candidates, specifically proteolysis targeting chimera molecules, or PROTACs, that target traditionally undruggable proteins implicated in oncogenesis. We believe that we are the only company in the world with active clinical programs targeting all three known classes of key apoptosis regulators, including Bcl-2 family, IAPs, and the MDM2-p53 pathway.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a global intellectual property portfolio. As of June 30, 2026, we have 537 issued patents globally, which includes 25 new patents issued during the reporting period. Of these patents, 395 were issued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established collaborations and other relationships with leading biotechnology and pharmaceutical companies around the world, including a collaboration and license agreement with Innovent as well as clinical collaboration agreements with AstraZeneca and Merck &amp; Co.. Our research and development collaborations with leading research institutions include Dana-Farber Cancer Institute, Mayo Clinic, MD Anderson Cancer Center, and the University of Michigan, as well as the National Cancer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clinical-stage pipeline consisting of seven small-molecule drug candidates, including ongoing trials of Olverembatinib and Lisaftoclax for oncology indications beyond those currently approved in China, along with the development status of each candidate,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437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4371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Approved in November 2021 in China for the treatment of adult patients with TKI-resistant CML-CP and CML-AP harboring the T315I mutation, has been included into the China 2022 NRDL effective March 1, 2023.</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Approved in November 2023 in China for the treatment of adult patients with CML-CP resistant and or intolerant to first </w:t>
            </w:r>
            <w:r>
              <w:rPr>
                <w:rFonts w:eastAsia="Times New Roman;Times;Serif"/>
                <w:sz w:val="20"/>
              </w:rPr>
              <w:t xml:space="preserve">－ </w:t>
            </w:r>
            <w:r>
              <w:rPr>
                <w:rFonts w:ascii="Times New Roman;Times;Serif" w:hAnsi="Times New Roman;Times;Serif"/>
                <w:sz w:val="20"/>
              </w:rPr>
              <w:t>and second-generation TKIs, has been included into the China 2024 NRDL effective January 1, 2025.</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July 2025, Lisaftoclax was approved by the NMPA in China for the treatment of adult patients with CLL/SLL who have previously received at least one systemic therapy, including BTK inhibitors.</w:t>
            </w:r>
          </w:p>
        </w:tc>
      </w:tr>
    </w:tbl>
    <w:p>
      <w:pPr>
        <w:pStyle w:val="TextBody"/>
        <w:bidi w:val="0"/>
        <w:spacing w:before="0" w:after="0"/>
        <w:ind w:left="360" w:right="0" w:hanging="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Registrational trials for CLL/SLL, AML and HR-MDS; Phase 2 trials ongoing for multiple myeloma (MM).</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Product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Olverembatinib (HQP1351)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product, Olverembatinib, is a novel, third-generation TKI and the first BCR-ABL1 TKI approved in China for the treatment of patients with CML-CP with a T315I mutation, CML-AP with a T315I mutation, and CML-CP that is resistant and/or intolerant to first and second-generation TKIs. The T315I (“gatekeeper”) mutation confers resistance against imatinib and all second-generation TKIs. Olverembatinib received support from China’s National Major New Drug Discovery and Manufacturing Program. Since January 2025, all approved indications of Olverembatinib have been covered by China’s NRDL, which bolstered the affordability and accessibility of the drug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interim report, the FDA has granted four Orphan Drug Designations (ODDs) for Olverembatinib, including in CML, ALL, AML, and GIST, as well as Fast-Track Designation for treatment of patients with CML and certain genetic markers that has failed to respond to treatments with existing TKIs. Olverembatinib was also granted an Orphan Designation by the EMA for the treatment of CML. Olverembatinib was included as an Emerging Treatment Option in the 2024 National Comprehensive Cancer Network (NCCN) USA guidelines for the management of CML and in the updated 2025 European LeukemiaNet recommendations. In addition, Olverembatinib has been included in the 2025 edition of the Chinese Medical Association’s </w:t>
      </w:r>
      <w:r>
        <w:rPr>
          <w:rFonts w:ascii="Times New Roman;Times;Serif" w:hAnsi="Times New Roman;Times;Serif"/>
          <w:b w:val="false"/>
          <w:i/>
          <w:caps w:val="false"/>
          <w:smallCaps w:val="false"/>
          <w:sz w:val="20"/>
        </w:rPr>
        <w:t>Guideline for the Diagnosis and Treatment of Chronic Myeloid Leukemia in China</w:t>
      </w:r>
      <w:r>
        <w:rPr>
          <w:rFonts w:ascii="Times New Roman;Times;Serif" w:hAnsi="Times New Roman;Times;Serif"/>
          <w:b w:val="false"/>
          <w:i w:val="false"/>
          <w:caps w:val="false"/>
          <w:smallCaps w:val="false"/>
          <w:sz w:val="20"/>
        </w:rPr>
        <w:t xml:space="preserve">, the 2025 edition of the Chinese Anti-Cancer Association (CACA) </w:t>
      </w:r>
      <w:r>
        <w:rPr>
          <w:rFonts w:ascii="Times New Roman;Times;Serif" w:hAnsi="Times New Roman;Times;Serif"/>
          <w:b w:val="false"/>
          <w:i/>
          <w:caps w:val="false"/>
          <w:smallCaps w:val="false"/>
          <w:sz w:val="20"/>
        </w:rPr>
        <w:t>Guidelines for Holistic Integrative Management of Cancer,</w:t>
      </w:r>
      <w:r>
        <w:rPr>
          <w:rFonts w:ascii="Times New Roman;Times;Serif" w:hAnsi="Times New Roman;Times;Serif"/>
          <w:b w:val="false"/>
          <w:i w:val="false"/>
          <w:caps w:val="false"/>
          <w:smallCaps w:val="false"/>
          <w:sz w:val="20"/>
        </w:rPr>
        <w:t xml:space="preserve"> and the 2025 edition of the </w:t>
      </w:r>
      <w:r>
        <w:rPr>
          <w:rFonts w:ascii="Times New Roman;Times;Serif" w:hAnsi="Times New Roman;Times;Serif"/>
          <w:b w:val="false"/>
          <w:i/>
          <w:caps w:val="false"/>
          <w:smallCaps w:val="false"/>
          <w:sz w:val="20"/>
        </w:rPr>
        <w:t>Chinese Society of Clinical Oncology (CSCO) Guidelines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registrational trials that were completed or ongoing worldwide for Olverembatinib: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2676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77000" cy="267652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Approved in November 2021 in China for the treatment of adult patients with TKI-resistant CML-CP and CML-AP harboring the T315I mutation, has been included into the China 2022 NRDL effective March 1, 2023.</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both"/>
              <w:rPr/>
            </w:pPr>
            <w:r>
              <w:rPr>
                <w:rFonts w:ascii="Times New Roman;Times;Serif" w:hAnsi="Times New Roman;Times;Serif"/>
                <w:sz w:val="20"/>
              </w:rPr>
              <w:t xml:space="preserve">Approved in November 2023 in China for the treatment of adult patients with CML-CP resistant and or intolerant to first </w:t>
            </w:r>
            <w:r>
              <w:rPr>
                <w:rFonts w:eastAsia="Times New Roman;Times;Serif"/>
                <w:sz w:val="20"/>
              </w:rPr>
              <w:t xml:space="preserve">－ </w:t>
            </w:r>
            <w:r>
              <w:rPr>
                <w:rFonts w:ascii="Times New Roman;Times;Serif" w:hAnsi="Times New Roman;Times;Serif"/>
                <w:sz w:val="20"/>
              </w:rPr>
              <w:t>and second-generation TKIs, has been included into the China 2024 NRDL effective January 1, 2025.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progress of Olverembatinib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Direct-to-Patient (DTP) pharmacies and hospitals where Olverembatinib is on formulary reached 879 as of June 30, 2026, a 12% increase compared to 782 as of June 30, 2025. In particular, the number of hospitals where Olverembatinib is on formulary increased by 34% over the same period, to 394 hospitals as of June 30, 2026, from 295 hospitals as of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continue enrollment in an FDA and EMA-cleared registrational Phase III clinical trial of Olverembatinib in combination with chemotherapy versus investigator-choice TKI in combination with chemotherapy in patients with newly diagnosed Ph+ ALL (POLARIS-1).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continue enrollment in an FDA and EMA-cleared registrational Phase III clinical trial of Olverembatinib for patients with previously treated CML-CP, both with and without the T315I mutation (POLARIS-2).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continue enrollment in a registrational Phase III clinical trial of Olverembatinib for the treatment of patients with SDH-deficient GIST that has failed prior systemic treatment (POLARIS-3).</w:t>
            </w:r>
          </w:p>
        </w:tc>
      </w:tr>
    </w:tbl>
    <w:p>
      <w:pPr>
        <w:pStyle w:val="TextBody"/>
        <w:bidi w:val="0"/>
        <w:spacing w:before="0" w:after="0"/>
        <w:ind w:left="0"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evaluating Olverembatinib in combination with the Bcl-2 inhibitor Lisaftoclax in early-phase clinical trials.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Data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11 to June 14, 2026, the latest clinical data from multiple trials in CML and Ph+ ALL therapeutic areas of Olverembatinib were presented at the 31st Congress of the European Hematology Association (EHA2026).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A Phase Ib study provided the first evidence that olverembatinib is active in patients with ponatinib</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and/or asciminib-resistant CML-CP, including those harboring challenging genotypes such as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highlighting its potential as a treatment option for patients with multi-line TKI-resistant disease.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confer a poor prognosis and increased risk of disease progression. Among 22 patients with ponatinib</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and/or asciminib-resistant CML-CP,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were detected in 40.9% (9/22) of patients. After Olverembatinib treatment, 44.4% (4/9) of patients with </w:t>
      </w:r>
      <w:r>
        <w:rPr>
          <w:rFonts w:ascii="Times New Roman;Times;Serif" w:hAnsi="Times New Roman;Times;Serif"/>
          <w:b w:val="false"/>
          <w:i/>
          <w:caps w:val="false"/>
          <w:smallCaps w:val="false"/>
          <w:sz w:val="20"/>
        </w:rPr>
        <w:t>ASXL1</w:t>
      </w:r>
      <w:r>
        <w:rPr>
          <w:rFonts w:ascii="Times New Roman;Times;Serif" w:hAnsi="Times New Roman;Times;Serif"/>
          <w:b w:val="false"/>
          <w:i w:val="false"/>
          <w:caps w:val="false"/>
          <w:smallCaps w:val="false"/>
          <w:sz w:val="20"/>
        </w:rPr>
        <w:t xml:space="preserve"> mutations achieved clinical responses, including 22.2% (2/9) achieving major molecular response (MMR) and one achieving MR4.5.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prospective, multicenter, controlled trial enrolled 105 patients with CML-CP who had received at least two prior TKIs for ≥18 months and failed to achieve MMR. Patients were assigned in a 1:2 ratio to either switch to Olverembatinib or continue their most recent TKI therapy (control group). Results showed that the 6-month MMR rate was significantly higher in the Olverembatinib group than in the control group (54.3% vs 10.0%; P&lt;0.001). At 12 months, the cumulative incidence of MMR was 57.14% in the Olverembatinib group compared with 21.43% in the control group (P&lt;0.0001). Common grade 3/4 hematologic treatment-emergent adverse events (TEAEs) included thrombocytopenia (42.86%) and anemia (17.14%). Grade 3/4 nonhematologic adverse events were infrequent. Notably, 78.57% of adverse events related to prior TKI therapy improved after patients switched to Olverembatinib. These findings support Olverembatinib as a potential standard of care for patients with CML-CP previously treated with at least two TKIs.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results from Part 1 (dose escalation) of POLARIS-1, a global phase 3 study of Olverembatinib combined with low-intensity chemotherapy in patients with newly diagnosed Ph+ ALL, demonstrated a minimal residual disease (MRD)-negative complete response (CR) rate of 63.0% after three cycles of induction therapy as well as a favorable safety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Findings from a phase Ib study demonstrated that the chemotherapy-free dual oral regimen of Olverembatinib combined with Lisaftoclax may offer a novel therapeutic option for pediatric patients with relapsed/refractory (R/R) Ph+ ALL A total of 17 patients were enrolled, and 40% harbored </w:t>
      </w:r>
      <w:r>
        <w:rPr>
          <w:rFonts w:ascii="Times New Roman;Times;Serif" w:hAnsi="Times New Roman;Times;Serif"/>
          <w:b w:val="false"/>
          <w:i/>
          <w:caps w:val="false"/>
          <w:smallCaps w:val="false"/>
          <w:sz w:val="20"/>
        </w:rPr>
        <w:t>ABL1</w:t>
      </w:r>
      <w:r>
        <w:rPr>
          <w:rFonts w:ascii="Times New Roman;Times;Serif" w:hAnsi="Times New Roman;Times;Serif"/>
          <w:b w:val="false"/>
          <w:i w:val="false"/>
          <w:caps w:val="false"/>
          <w:smallCaps w:val="false"/>
          <w:sz w:val="20"/>
        </w:rPr>
        <w:t xml:space="preserve"> mutations, including T315I. Among nine efficacy-evaluable patients, the combination achieved an overall response rate (ORR; CR + CR with incomplete hematologic recovery CRi) of 88.9% and an MRD-negativity rate of 66.7% (8/12 at cycle 2 day 28), A total of 93.3% of patients (14/15 at cycle 2 day 28) achieved MMR or better. Both agents were detectable in cerebrospinal fluid (CSF), providing evidence of central-nervous-system (CNS) penetration, and demonstrated activity across </w:t>
      </w:r>
      <w:r>
        <w:rPr>
          <w:rFonts w:ascii="Times New Roman;Times;Serif" w:hAnsi="Times New Roman;Times;Serif"/>
          <w:b w:val="false"/>
          <w:i/>
          <w:caps w:val="false"/>
          <w:smallCaps w:val="false"/>
          <w:sz w:val="20"/>
        </w:rPr>
        <w:t>ABL1</w:t>
      </w:r>
      <w:r>
        <w:rPr>
          <w:rFonts w:ascii="Times New Roman;Times;Serif" w:hAnsi="Times New Roman;Times;Serif"/>
          <w:b w:val="false"/>
          <w:i w:val="false"/>
          <w:caps w:val="false"/>
          <w:smallCaps w:val="false"/>
          <w:sz w:val="20"/>
        </w:rPr>
        <w:t xml:space="preserve"> mutation subgroups. The regimen showed a manageable safety profile, with no treatment-related deaths.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29 to June 2, 2026, the latest clinical data from multiple trials of Olverembatinib were presented at the 2026 American Society of Clinical Oncology (ASCO) Annual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latest data from a Phase Ib study evaluating Olverembatinib in combination with bispecific T-cell engager antibody blinatumomab demonstrated that the combination regimen conferred encouraging clinical activity in patients with R/R lymphoid blast phase chronic myeloid leukemia (CML-LBP) or Ph+ B-cell precursor ALL (Ph+ BCP-ALL), with a total of 91% (10/11) of patients achieving CR or CRi. In addition, 67% (8/12) of patients achieved BCR::ABL1 negativity by PCR (≤0.01%), and 80% (8/10) achieved MRD negativity by flow cytometry (≤0.01%). The combination regimen demonstrated a manageable safety profile, with most adverse events (AEs) being grade 1-2, consistent with the known toxicities of each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data in 47 patients with CML-CP demonstrated that Olverembatinib may provide a safe and effective second-line treatment for patients with CML-CP, especially those with disease without the T315I mutation that had failed on first-line treatment with second-generation TKIs. As of January 14, 2026, among 42 evaluable patients, 76.2% (32/42) had achieved complete cytogenetic response (CCyR) and 47.6% (20/42) achieved MMR. Responses continued to improve with longer treatment duration: at cycle 24, the best CCyR rate reached 91.3% and the best MMR rate, 60.9%. In patients with CML-CP that had failed first-line treatment with second-generation TKIs, Olverembatinib demonstrated a CCyR rate of 81.3% and an MMR rate of 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Updated clinical and translational results of Olverembatinib in patients with SDH-deficient tumors revealed that Olverembatinib inhibits fatty acid-promoted tumor cell migration by targeting the p38-MAPK-CD36 pathway, providing further insight into its mechanism of action in SDH-deficient tumors. Among 26 patients with SDH-deficient GIST, 6 (23.1%) patients experienced partial response (PR) as the best response, with a median progression-free survival (PFS) of 25.7 months; among 6 patients with SDH-deficient paraganglioma, best responses were observed in 4 patients, with stable disease (SD) lasting ≥ 4 cycles (clinical benefit rate, 66.7%) and a median PFS of 8.25 months.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April 17 to April 22, 2026, two preclinical results of Olverembatinib were presented at the American Association for Cancer Research (AACR) 2026 Annual Meeting. Olverembatinib demonstrated marked antitumor activity in preclinical models of endometrial carcinoma (EC), exerting synergistic antitumor effects when combined with chemotherapy. In preclinical mantle-cell lymphoma (MCL) models, Olverembatinib also showed antitumor activity and synergized with BTK inhibitor acalabrutinib.</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March 2026, at the 52nd Annual Meeting of the European Society for Blood and Marrow Transplantation (EBMT 2026), results from the first real-world study were presented that confirm olverembatinib’s capacity to induce deep remission and optimize allogeneic hematopoietic stem cell transplantation (HSCT) outcomes for patients with blast-crisis chronic myeloid leukemia (BC-CML). This single-center retrospective analysis was based on 69 patients with BC-CML who received TKI plus chemotherapy as bridging induction therapy before HSCT, among whom 43 were treated with first/second-generation TKIs (1/2G-TKIs) and 26 with Olverembatinib. Compared with 1/2G-TKIs, olverembatinib significantly enhanced pretransplantation molecular responses with notably improved MMR and complete molecular response (CMR) rates of 53.8% and 23.1%, versus 16.3% and 4.7% in the 1/2G-TKI group; Olverembatinib bridging therapy was associated with improved posttransplantation survival, with 1-year overall survival (OS) rate of 89% and 1-year PFS rate of 78% (vs. 70.8% and 68% for the 1/2G-TKI group, respectively), alongside lower non-relapse mortality (NRM) at 10.6% compared with 23% in the 1/2G-TKI group. This real-world analysis provides the first clinical evidence supporting the efficacy and safety of Olverembatinib in transplant-eligible BC-CML.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Olverembatinib</w:t>
      </w:r>
    </w:p>
    <w:p>
      <w:pPr>
        <w:pStyle w:val="TextBody"/>
        <w:bidi w:val="0"/>
        <w:spacing w:before="0" w:after="0"/>
        <w:ind w:left="0" w:right="0" w:hanging="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2026, we will continue to advance enrollment in the POLARIS-1, POLARIS-2, and POLARIS-3 trials.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Products and Pipeline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Lisaftoclax (APG-2575)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Lisaftoclax is a novel, oral Bcl-2 inhibitor developed to treat a variety of hematologic malignancies and solid tumors by selectively blocking Bcl-2 to restore the normal apoptotic (programmed cell death) process in cancer cells. In July 2025, Lisaftoclax was approved by China’s NMPA for the treatment of adult patients with CLL/SLL who have previously received at least one systemic therapy, including BTK inhibitors, marking Lisaftoclax as the first Bcl-2 inhibitor receiving conditional approval and marketing authorization in China as well as the second Bcl-2 inhibitor approved commercially. In addition, Lisaftoclax was recommended in the 2026 CSCO Lymphoma Diagnosis and Treatment Guidelines for the treatment of patients with R/R CLL/SLL, and in 2026 CSCO Guidelines on Hematological Malignancies for the treatment of older/unfit patients with AML. Currently, Lisaftoclax has received clearances and approvals to conduct clinical studies including global registrational trials in China, the United States, Australia, and Europe, in indications including CLL/SLL, non-Hodgkin’s lymphoma, or NHL, AML, MM, MDS, and certain solid tumors. Furthermore, the FDA has granted five ODDs to Lisaftoclax, specifically for the treatment of patients with follicular lymphoma, or FL, WM, CLL, MM, AML.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registrational trials completed or ongoing for Lisaftoclax: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3543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77000" cy="3543300"/>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July 2025, Lisaftoclax was approved by NMPA in China for the treatment of adult patients with CLL/SLL who have previously received at least one systemic therapy, including BTK inhibitors.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recent progress of Lisaftoclax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the number of DTP pharmacies and hospitals where Lisaftoclax is on formulary reached 415, including 60 hospitals where Lisaftoclax is on the formulary.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continue enrollment in a global, registrational Phase III clinical trial, called GLORA-4, of Lisaftoclax in combination with AZA for the treatment of patients with newly diagnosed HR-MDS. GLORA-4 is a global trial that has also been cleared by the FDA and EMA.</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enrollment in a registrational Phase III clinical trial, called GLORA-3, of Lisaftoclax in combination with AZA for the treatment of elderly or unfit patients with newly diagnosed AML.</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enrollment in a registrational Phase III clinical trial, called GLORA-2, to evaluate Lisaftoclax in combination with the BTK inhibitor acalabrutinib, versus immunochemotherapy in patients with previously untreated CLL/SLL, to validate a fixed duration of combination regimen as a first-line treatment.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enrollment in a global, registrational Phase III clinical trial, called GLORA, of Lisaftoclax in combination with BTK inhibitors in patients with CLL/SLL previously treated suboptimally with BTK inhibitors. GLORA is a global trial that has also been cleared by the FDA and EMA.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Ib/II clinical trials of Lisaftoclax in combination with other therapies for the treatment of patients with MM in the United States is ongoing.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Ib/II study of Lisaftoclax as a single agent or in combination with other therapies for the treatment of patients with AML/MDS, including patients resistant to venetoclax, is ongoing in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Ib/II studies of Lisaftoclax in combination with other therapies for the treatment of patients with AML/MDS are also ongoing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Data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11 to June 14, 2026, studies in myeloid neoplasms and CLL/SLL therapeutic areas of Lisaftoclax were presented at the at the 31st Congress of the European Hematology Association (EHA2026).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multicenter real-world (retrospective) study evaluated the efficacy and safety of Lisaftoclax in patients with myeloid neoplasms. A total of 30 patients were enrolled, including 25 patients with AML (with a CR/CRi rate of 72%) and 3 patients with MDS, 2 of whom achieved CRi. Regarding safety, grade ≥ 3 treatment-emergent adverse events (TEAEs) were primarily hematologic, including thrombocytopenia (27%), anemia (23%), and neutropenia (20%). Overall safety was manageable.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multicenter retrospective study evaluated the real-world efficacy and safety of Lisaftoclax combined with AZA for MDS. A total of 10 patients with HR-MDS were enrolled, including 5 newly diagnosed cases and 5 relapsed/refractory cases. The overall ORR was 70%, with 60% for first-line therapy and 80% for second-line therapy, and the median time to initial response was 1.8 months. Among 4 patients with prior failure on venetoclax plus AZA, 1 achieved CR following Lisaftoclax + AZA treatment, and AEs were generally manageable. Overall, these preliminary real-world data suggest that Lisaftoclax plus azacitidine has promising activity and acceptable toxicity in MDS.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correlative analysis from the pivotal Phase II study (NCT05147467) evaluated associations between baseline characteristics and prognosis in patients with R/R CLL/SLL treated with Lisaftoclax. The study enrolled 77 patients with R/R CLL/SLL refractory to BTKis. Among 72 evaluable patients, the median progression-free survival (PFS) was 23.9 months and the Independent Review Committee (IRC)-assessed ORR was 62.5%. Further analyses showed that </w:t>
      </w:r>
      <w:r>
        <w:rPr>
          <w:rFonts w:ascii="Times New Roman;Times;Serif" w:hAnsi="Times New Roman;Times;Serif"/>
          <w:b w:val="false"/>
          <w:i/>
          <w:caps w:val="false"/>
          <w:smallCaps w:val="false"/>
          <w:sz w:val="20"/>
        </w:rPr>
        <w:t>TP53</w:t>
      </w:r>
      <w:r>
        <w:rPr>
          <w:rFonts w:ascii="Times New Roman;Times;Serif" w:hAnsi="Times New Roman;Times;Serif"/>
          <w:b w:val="false"/>
          <w:i w:val="false"/>
          <w:caps w:val="false"/>
          <w:smallCaps w:val="false"/>
          <w:sz w:val="20"/>
        </w:rPr>
        <w:t xml:space="preserve"> mutation/del(17p), complex karyotype (CK), and mutations in </w:t>
      </w:r>
      <w:r>
        <w:rPr>
          <w:rFonts w:ascii="Times New Roman;Times;Serif" w:hAnsi="Times New Roman;Times;Serif"/>
          <w:b w:val="false"/>
          <w:i/>
          <w:caps w:val="false"/>
          <w:smallCaps w:val="false"/>
          <w:sz w:val="20"/>
        </w:rPr>
        <w:t>SF3B1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KIT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BLM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SETD2</w:t>
      </w:r>
      <w:r>
        <w:rPr>
          <w:rFonts w:ascii="Times New Roman;Times;Serif" w:hAnsi="Times New Roman;Times;Serif"/>
          <w:b w:val="false"/>
          <w:i w:val="false"/>
          <w:caps w:val="false"/>
          <w:smallCaps w:val="false"/>
          <w:sz w:val="20"/>
        </w:rPr>
        <w:t xml:space="preserve"> were associated with significantly shorter PFS. Complex karyotype and larger tumor size were identified as independent risk factors for shorter PFS. These findings demonstrate that Lisaftoclax has clinical activity in patients with R/R CLL/SLL refractory to BTKi therapy. In addition, these data may help to identify patients with poorer prognosis based on baseline risk characteristics, supporting future risk stratification and risk-adapted combination treatment strategies.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December 2025, Phase Ib/II trial (NCT04215809) findings published in </w:t>
            </w:r>
            <w:r>
              <w:rPr>
                <w:rFonts w:ascii="Times New Roman;Times;Serif" w:hAnsi="Times New Roman;Times;Serif"/>
                <w:i/>
                <w:sz w:val="20"/>
              </w:rPr>
              <w:t>Med</w:t>
            </w:r>
            <w:r>
              <w:rPr>
                <w:rFonts w:ascii="Times New Roman;Times;Serif" w:hAnsi="Times New Roman;Times;Serif"/>
                <w:sz w:val="20"/>
              </w:rPr>
              <w:t xml:space="preserve"> reported on Lisaftoclax monotherapy or combinations with rituximab or acalabrutinib in patients with CLL/SLL. A total of 176 patients were enrolled into three cohorts: 46 on monotherapy, 39 on Lisaftoclax plus rituximab, and 91 on Lisaftoclax plus acalabrutinib. A total of 30.1% of patients had del(17p) and/or TP53 mutations, with a median of 2 prior therapy lines. The ORR was 67.4% (29/43 evaluable R/R patients) for monotherapy and 84.6% (33/39 R/R patients) for Lisaftoclax plus rituximab. The Lisaftoclax plus acalabrutinib arm achieved 100% ORR in 22 previously untreated patients and 96.9% in 65 patients with R/R CLL/SLL. Hematologic toxicities such as neutropenia tended to occur early and responded to standard supportive care; no meaningful drug-drug interactions were observed with rituximab or acalabrutinib. These results suggest Lisaftoclax with a 5-7-day ramp-up delivers favorable tolerability and potent antitumor activity in patients with previously untreated and R/R CLL/SLL, including those with prior venetoclax failure.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Lisaftoclax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initiate clinical studies to confirm Lisaftoclax’s potential to overcome venetoclax resistance in patients who have failed venetoclax treatment.</w:t>
            </w:r>
          </w:p>
        </w:tc>
      </w:tr>
    </w:tbl>
    <w:p>
      <w:pPr>
        <w:pStyle w:val="TextBody"/>
        <w:bidi w:val="0"/>
        <w:spacing w:before="0" w:after="0"/>
        <w:ind w:left="0" w:right="0" w:hanging="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advance enrolment in the GLORA, GLORA-2, GLORA-3, and GLORA-4 trials in 2026.</w:t>
            </w:r>
          </w:p>
        </w:tc>
      </w:tr>
    </w:tbl>
    <w:p>
      <w:pPr>
        <w:pStyle w:val="TextBody"/>
        <w:bidi w:val="0"/>
        <w:spacing w:before="0" w:after="0"/>
        <w:ind w:left="0" w:right="0" w:hanging="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actively advance the inclusion of Lisaftoclax in China’s NRDL in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APG-2449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APG-2449 is a novel, orally active, small-molecule inhibitor of focal adhesion kinase, or FAK, a third-generation inhibitor of anaplastic lymphoma kinase, or ALK, and an inhibitor of receptor tyrosine kinase C-ROS oncogene 1, or ROS1. It is a triple ligase kinase inhibitor designed and developed by Ascentage Pharma and is also the first FAK inhibitor approved by CDE for clinical studies in China. In a first-in-human trial, CSF PK analyses showed that APG-2449 penetrated the blood-brain barrier. An updated study of APG-2449 demonstrated preliminary clinical benefit in patients with non-small-cell lung cancer, or NSCLC, whose disease was TKI naïve and resistant to second-generation ALK inhibitors, especially in those with brain metastases. In addition, high phosphorylated FAK, or pFAK, expression levels in baseline tumor tissue correlated with improved APG-2449 treatment responses in patients with NSCLC-resistant to second-generation ALK inhibitors, suggesting that increasing pFAK levels may be a viable therapeutic approach to treating tumors resistant to second-generation ALK TKIs. Furthermore, we are investigating the potential synergistic effect of APG-2449 combined with agents targeting the MAPK pathway, including RAS, MEK, and BRAF inhibitors.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APG-2449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CDE-cleared registrational Phase III clinical trials are ongoing that are separately evaluating APG-2449 in patients with NSCLC who are resistant to or intolerant of second-generation ALK TKIs and previously untreated patients with ALK-positive advanced or locally advanced NSCLC.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Ib/II study of APG-2449 in combination with liposomal doxorubicin hydrochloride in platinum-resistant ovarian cancer is ongoing.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Development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17 to April 22, 2026, preclinical results of APG-2449 were presented at the AACR 2026 Annual Meeting. In </w:t>
            </w:r>
            <w:r>
              <w:rPr>
                <w:rFonts w:ascii="Times New Roman;Times;Serif" w:hAnsi="Times New Roman;Times;Serif"/>
                <w:b w:val="false"/>
                <w:i/>
                <w:caps w:val="false"/>
                <w:smallCaps w:val="false"/>
                <w:sz w:val="20"/>
              </w:rPr>
              <w:t>BRAF</w:t>
            </w:r>
            <w:r>
              <w:rPr>
                <w:rFonts w:ascii="Times New Roman;Times;Serif" w:hAnsi="Times New Roman;Times;Serif"/>
                <w:b w:val="false"/>
                <w:i w:val="false"/>
                <w:caps w:val="false"/>
                <w:smallCaps w:val="false"/>
                <w:sz w:val="20"/>
              </w:rPr>
              <w:t xml:space="preserve"> V600E-mutant colorectal cancer and melanoma models, APG-2449 enhanced the antitumor activity of MAPK pathway blockade via FAK inhibition.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18A.08(3) of the Listing Rules:</w:t>
      </w:r>
      <w:r>
        <w:rPr>
          <w:rFonts w:ascii="Times New Roman;Times;Serif" w:hAnsi="Times New Roman;Times;Serif"/>
          <w:b w:val="false"/>
          <w:i w:val="false"/>
          <w:caps w:val="false"/>
          <w:smallCaps w:val="false"/>
          <w:sz w:val="20"/>
        </w:rPr>
        <w:t xml:space="preserve"> WE MAY NOT BE ABLE TO ULTIMATELY DEVELOP AND MARKET APG-2449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Alrizomadlin (APG-115)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Alrizomadlin (APG-115) is a novel, orally bioavailable, small-molecule inhibitor of MDM2-p53 designed to be highly specific for disruption of the protein-protein interaction of MDM2 and p53 in order to restore p53 tumor suppressor activity. Alrizomadlin is undergoing multiple clinical studies in China, the United States, and Australia as a single agent or in combination with immunotherapy or chemotherapy for treating solid tumors and hematologic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granted six ODDs for alrizomadlin, for the treatment of soft-tissue sarcoma, gastric cancer, AML, retinoblastoma, stage IIB-IV melanoma, and neuroblastoma. In addition, alrizomadlin has been granted two Rare Pediatric Disease Designations, or RPDDs, by the FDA for the treatment of neuroblastoma and retinoblastoma. Finally, alrizomadlin has been officially included by the CDE of the NMPA into the pilot project of the Incentive Pilot Program for Pediatric Anticancer Drug R&amp;D (Starlight Program). It is planned to be developed for the treatment of pediatric solid tumors, including neuroblastoma (NB), rhabdomyosarcoma (RMS), and Ewing sarcoma (EWS).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alrizomadlin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the following clinical studies of alrizomadlin in the United States and/or Australia: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Ib/II study of alrizomadlin monotherapy or in combination with anti-PD-1 antibody pembrolizumab in patients with unresectable or metastatic melanoma (in collaboration with Merck &amp; Co.) or other advanced solid tumors.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IIa study evaluating the pharmacokinetics, safety, and efficacy of alrizomadlin as a single agent or in combination with Lisaftoclax in subjects with relapsed/refractory T-cell prolymphocytic leukemia, or R/R T-PLL, or NHL.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CDE has granted approval for the following clinical trials of alrizomadlin in China: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Ib/II clinical study of alrizomadlin in combination with anti-PD-1 antibody (JS001) toripalimab, for the treatment of patients with advanced liposarcoma (LPS) or other advanced solid tumors.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Ib study of alrizomadlin as a single agent or in combination with azacitidine or cytarabine in patients with R/R AML and relapsed/progressed high-/very high-risk MDS.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Phase I clinical study of alrizomadlin alone or in combination with Lisaftoclax in children with solid tumors is ongoing. Current data indicate that Alrizomadlin alone or in combination with Lisaftoclax showed a manageable safety profile, with preliminary antitumor activity in heavily pretreated relapsed/metastatic RMS, or other soft-tissue sarcomas (STSs).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Development Highlight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2026, the latest clinical data of alrizomadlin alone or in combination with Lisaftoclax for the treatment of pediatric patients with relapsed/metastatic RMS or other STSs were presented at the 2026 ASCO Annual Meeting. In the alrizomadlin monotherapy arm, 1 patient with refractory embryonal RMS achieved CR. In the alrizomadlin and Lisaftoclax combination arm, the ORR was 23.5% among 17 response-evaluable pediatric patients with relapsed/refractory solid tumors, including 1 CR in a patient with EWS, as well as PRs in 2 patients with RMS and 1 patient with NB. The disease control rate (DCR) was 70.6%.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2026, results from the Phase I clinical trial of alrizomadlin in patients with TP53 wild-type unresectable recurrent or metastatic salivary gland cancer (NCT03781986) were published in </w:t>
            </w:r>
            <w:r>
              <w:rPr>
                <w:rFonts w:ascii="Times New Roman;Times;Serif" w:hAnsi="Times New Roman;Times;Serif"/>
                <w:b w:val="false"/>
                <w:i/>
                <w:caps w:val="false"/>
                <w:smallCaps w:val="false"/>
                <w:sz w:val="20"/>
              </w:rPr>
              <w:t>Nature Communications</w:t>
            </w:r>
            <w:r>
              <w:rPr>
                <w:rFonts w:ascii="Times New Roman;Times;Serif" w:hAnsi="Times New Roman;Times;Serif"/>
                <w:b w:val="false"/>
                <w:i w:val="false"/>
                <w:caps w:val="false"/>
                <w:smallCaps w:val="false"/>
                <w:sz w:val="20"/>
              </w:rPr>
              <w:t>. The study demonstrated that alrizomadlin monotherapy exhibited a manageable safety profile and encouraging preliminary antitumor activity. Clinically meaningful efficacy signals were observed in patients with TP53 wild-type salivary gland cancers, particularly adenoid cystic carcinoma (ACC), achieving an ORR of 15% and a median PFS of 10.5 months. These findings further support the clinical development potential of Alrizomadlin and validate the therapeutic relevance of targeting the MDM2-p53 pathway in this patient population.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18A.08(3) of the Listing Rules:</w:t>
      </w:r>
      <w:r>
        <w:rPr>
          <w:rFonts w:ascii="Times New Roman;Times;Serif" w:hAnsi="Times New Roman;Times;Serif"/>
          <w:b w:val="false"/>
          <w:i w:val="false"/>
          <w:caps w:val="false"/>
          <w:smallCaps w:val="false"/>
          <w:sz w:val="20"/>
        </w:rPr>
        <w:t xml:space="preserve"> WE MAY NOT BE ABLE TO ULTIMATELY DEVELOP AND MARKET ALRIZOMADLIN (APG-115)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Pelcitoclax (APG-1252)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Pelcitoclax is a novel, highly potent, small-molecule drug candidate designed to restore apoptosis through dual inhibition of the Bcl-2/Bcl-xL proteins for the treatment of small-cell lung cancer (SCLC), NSCLC, neuroendocrine tumor, and NHL. APG-1252 was granted an ODD by the FDA for the treatment of SCLC.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various clinical trials conducted in the United States, Australia, and China, patients have been treated with Pelcitoclax as monotherapy or in combination with other antitumor agents. Pelcitoclax has been well tolerated in patients to date using either weekly or biweekly intermittent dosing schedules. Preliminary antitumor activity was observed as a single agent in heavily pretreated patients.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Pelcitoclax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Pelcitoclax is currently under investigation in a variety of combination trials,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 study of pelcitoclax plus osimertinib in patients with epidermal growth factor receptor, or EGFR, mutant NSCLC in China;</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pelcitoclax as a single agent or in combination with other therapeutic agents in patients with R/R NHL in China.</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 study of pelcitoclax in combination with MEK inhibitor cobimetinib in recurrent ovarian and endometrial cancers in the U.S..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Phase Ib/II study of pelcitoclax in combination with AZA in patients with R/R high-risk AML in the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Clinical Development Highlight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In July 2026, we published results of a Phase Ib clinical study (NCT04001777) in the Journal for ImmunoTherapy of Cancer (JITC) evaluating pelcitoclax (APG-1252) in combination with third-generation EGFR TKI osimertinib for the treatment of advanced </w:t>
            </w:r>
            <w:r>
              <w:rPr>
                <w:i/>
              </w:rPr>
              <w:t>EGFR</w:t>
            </w:r>
            <w:r>
              <w:rPr/>
              <w:t xml:space="preserve">-mutated NSCLC. The study demonstrated that this combination regimen exhibited a favorable safety profile, predictable PK characteristics, and promising antitumor activity in both previously TKI-untreated and TKI-resistant patients. Higher baseline Bcl-xL expression was associated with greater clinical benefit from treatment, while patients harboring </w:t>
            </w:r>
            <w:r>
              <w:rPr>
                <w:i/>
              </w:rPr>
              <w:t>TP53</w:t>
            </w:r>
            <w:r>
              <w:rPr/>
              <w:t xml:space="preserve"> mutations also achieved sustained clinical responses. These findings suggest that targeting the Bcl-2/Bcl-xL-mediated apoptotic pathway may represent a novel therapeutic strategy for overcoming EGFR-TKI resistance and improving outcomes in high-risk patients with </w:t>
            </w:r>
            <w:r>
              <w:rPr>
                <w:i/>
              </w:rPr>
              <w:t>EGFR</w:t>
            </w:r>
            <w:r>
              <w:rPr/>
              <w:t>-mutated NSCLC.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Pelcitoclax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Plan to initiate a Phase I study in China evaluating the safety and PK of Pelcitoclax as monotherapy and in combination in R/R AML.</w:t>
            </w:r>
          </w:p>
        </w:tc>
      </w:tr>
    </w:tbl>
    <w:p>
      <w:pPr>
        <w:pStyle w:val="TextBody"/>
        <w:bidi w:val="0"/>
        <w:spacing w:before="0" w:after="0"/>
        <w:ind w:left="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Multiple investigator-initiated oncology trials to be initiated outside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18A.08(3) of the Listing Rules:</w:t>
      </w:r>
      <w:r>
        <w:rPr>
          <w:rFonts w:ascii="Times New Roman;Times;Serif" w:hAnsi="Times New Roman;Times;Serif"/>
          <w:b w:val="false"/>
          <w:i w:val="false"/>
          <w:caps w:val="false"/>
          <w:smallCaps w:val="false"/>
          <w:sz w:val="20"/>
        </w:rPr>
        <w:t xml:space="preserve"> WE MAY NOT BE ABLE TO ULTIMATELY DEVELOP AND MARKET PELCITOCLAX (APG-1252)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APG-5918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APG-5918 is a potent, orally bioavailable, and highly selective embryonic ectoderm development, or EED, inhibitor. EED is a core subunit of the PRC2. PRC2 inhibitors block tumor cell epigenetic modifications, enabling expression of tumor-suppressor genes. Preliminary study results from preclinical models of anemia demonstrated that APG-5918 can improve hemoglobin insufficiency induced by chronic kidney disease, or CKD.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initiated an FDA-cleared multicenter, open-label Phase I clinical trial to evaluate the safety, PK, and efficacy of APG-5918 in patients with advanced solid tumors or lymphomas, including NHL, that have progressed or are intolerant to previously approved therapies or for which no standard treatments are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APG-5918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Phase I clinical trial of APG-5918 for the treatment of patients with advanced solid tumors and hematologic malignancies in China and the U.S..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Ongoing Phase I clinical trial of APG-5918 for the treatment of patients with anemia-related indications in China. The first part of the single ascending dose, or SAD, study in healthy subjects has been completed, and the second part of multiple ascending dose, or MAD phase in patients with anemia is ongoing.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Updated Development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April 17 to April 22, 2026, preclinical results of APG-5918 were presented at the AACR 2026 Annual Meeting. APG-5918 demonstrated synergistic antitumor activity when combined with topoisomerase I inhibitors in preclinical SCLC models, potentially through epigenetic priming of chemosensitivity.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Progress of APG-5918</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During 2026, we plan to advance the clinical development of APG-5918 in oncology and anemia in the U.S. and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required by Rule 18A.08(3) of the Listing Rules:</w:t>
      </w:r>
      <w:r>
        <w:rPr>
          <w:rFonts w:ascii="Times New Roman;Times;Serif" w:hAnsi="Times New Roman;Times;Serif"/>
          <w:b w:val="false"/>
          <w:i w:val="false"/>
          <w:caps w:val="false"/>
          <w:smallCaps w:val="false"/>
          <w:sz w:val="20"/>
        </w:rPr>
        <w:t xml:space="preserve"> WE MAY NOT BE ABLE TO ULTIMATELY DEVELOP AND MARKET APG-5918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APG-3288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APG-3288 is our first disclosed novel, highly potent and selective BTK degrader developed utilizing Ascentage Pharma’s proprietary proteolysis-targeting chimera (PROTAC) technology platform. This candidate induces the formation of a ternary complex consisting of the BTK target, the PROTAC, and the cereblon E3 ubiquitin ligase, leading to proteasome-mediated degradation of the BTK target. Unlike conventional BTK inhibitors, APG-3288 is designed to act through degradation rather than inhibition, inducing rapid, potent, highly selective, and sustained degradation of both wild-type BTK and multiple BTK mutants associated with resistance to existing BTK inhibitors (e.g., C481S). Critically, this approach blocks the BCR-BTK signaling axis at its source, thereby overcoming resistance to BTK inhibitors and potentially providing a novel and differentiated therapeutic strategy for BTK-targeted treatment. In preclinical studies, APG-3288 demonstrated more potent BTK degradation, higher selectivity, and more favorable PK properties compared to certain other BTK degraders in development, highlighting the drug’s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progress of APG-3288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progress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APG-3288 received IND clearance from the U.S. FDA in January 2026 and received IND application clearance from the China CDE in February 2026. We are conducting a global Phase I study evaluating APG-3288’s PK, safety, tolerability and efficacy data in patients with relapsed/refractory B-cell malignancies, including in the U.S. and China.</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Cautionary Statement required by Rule 18A.08(3) of the Listing Rules: </w:t>
      </w:r>
      <w:r>
        <w:rPr>
          <w:rFonts w:ascii="Times New Roman;Times;Serif" w:hAnsi="Times New Roman;Times;Serif"/>
          <w:b w:val="false"/>
          <w:i w:val="false"/>
          <w:caps w:val="false"/>
          <w:smallCaps w:val="false"/>
          <w:sz w:val="20"/>
        </w:rPr>
        <w:t>WE MAY NOT BE ABLE TO ULTIMATELY DEVELOP AND MARKET APG-3288 SUCCESSFULLY.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Discovery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actively engage our internal discovery capability in pursuit of novel, differentiated, therapeutic candidates to add to our proprietary pipeline. The following summarizes some recent achievements from our ongoing discovery program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Protein degraders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deep understanding of heterobifunctional molecules and ligase biology has allowed us to develop protein degraders targeting traditionally undruggable proteins of interest implicated in key oncologic pathways. We believe that we have the ability to develop differentiated protein degraders with superior PK/PD profiles resulting in less off-target effects than observed with degraders already in clinical development. We also believe that we can develop cancer therapeutics targeted toward resistance mechanisms that have traditionally plagued small-molecule inhibitors, with our protein degrader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we announced that APG-3288, our first novel, highly potent, and selective BTK degrader, received IND clearance from the U.S. FDA and CDE. In addition, we identified and nominated our targeted protein degrader, or TPD, candidate for preclinical development. This orally bioavailable degrader targets the MDM2-p53 pathway. In the last 20 years, many highly potent and orally active MDM2-p53 inhibitors have been developed to activate the p53 tumor suppressor gene, and several are currently in clinical development, including Alrizomadlin. However, inhibition of p53 often leads to upregulation of MDM2, which, in turn, has limited the efficacy of MDM2 inhibitors evaluated by others to date. Therefore, we believe that a degrader approach has the potential to be a transformative new strategy against these key oncology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identified several compounds from our protein degrader discovery capability that can rapidly reduce levels of the Bcl-xL protein in human cancer cell lines and thereby inhibit their growth due to their dependency on Bcl-xL. Based on our initial studies, we believe that our Bcl-xL protein degrader approach has the potential to demonstrate strong antitumor activity along with low levels of platelet toxicity. We are in the process of selecting and nominating our first Bcl-xL degrader candidate for preclinical development. The potential candidates exhibit high selectivity for the Bcl-xL target, demonstrating potent cellular and degradation activity, and showing remarkable in vivo efficacy in murine xenograft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proven record of accomplishment in research discovery, global clinical development, and commercialization of novel biopharmaceuticals directed toward cancer. We plan to continue to diversify and expand our product pipeline through both in-house research and development and collaboration with biotechnology and pharmaceutical companies, as well as academic institutions. We have an experienced scientific advisory board, or SAB, chaired by Dr. Shaomeng Wang, our cofounder and non-executive director. Members of our SAB are physician scientists with expertise in cancer research and drug development. They are not our employees but periodically assist us and guide our clinical development programs through regularly scheduled SAB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and 2026, our research and development expenses were RMB528.6 million and RMB697.5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fundamental to our business. Through our robust research and development, we have strategically developed a global intellectual property portfolio with exclusive rights to issue patents or patent applications worldwide with respect to our products and product candidates. As of June 30, 2026, we had cumulatively amassed 537 issued patents globally, including 25 new patents issued during the reporting period. Of these patents, 395 patents were issued outside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is executing its dual-engine commercialization strategy. Our commercial portfolio maintained a resilient performance in the first half of 2026, with Lisaftoclax ramping up post-launch and Olverembatinib consolidating its position as the cornerstone product following its strong post-NRDL growth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have a fully operational commercialization team in China consisting of nearly 300 staff members, and our commercialization efforts cover approximately 1,500 hospitals across the country. To support the further growth of our cornerstone product Olverembatinib and the continued ramp-up of Lisaftoclax in its second year of commercialization, we continue to enhance our organizational capabilities in a steady and strategic manner. Building on the differentiated clinical profile of both products and our established and steadily expanding commercial capabilities, we are well positioned to accelerate market penetration and prepare for potential new indication approvals and upcoming NRDL inclusion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Olverembatinib maintained its position as the cornerstone product of our portfolio, continuing to serve as a leading third-generation TKI treatment option for patients with CML in China. Building on the strong revenue growth achieved in the prior year following its expanded NRDL coverage, Olverembatinib continued to demonstrate a stable and healthy commercial performance, supported by sustained patient demand, ongoing accumulation of real-world evidence, and continued expansion of hospital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Lisaftoclax, our second commercialized product, continued to demonstrate strong post-launch momentum in the first half of 2026. Leveraging our fully in-house commercial team and its differentiated clinical profile, Lisaftoclax achieved further expansion in hospital access and pharmacy coverage, supporting a steady and rapid increase in new patient prescriptions.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to strengthen the underlying commercial infrastructure that supports the sustained growth of our dual-engine portfolio.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of June 30, 2026, our commercial team had grown to nearly 300 members, most of whom possess professional experience in the hematology-oncology field, ensuring focused execution while enabling shared operational leverage.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of June 30, 2026, the number of DTP pharmacies and hospitals where Olverembatinib is on formulary reached 879, an increase of approximately 12% compared to six months ended June 30, 2025. In particular, the number of hospitals where Olverembatinib was included on formularies increased approximately 34% to 394 hospitals for the six months ending June 30, 2026 from 295 hospitals for the six months ending June 30, 2025.</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Lisaftoclax also achieved rapid nationwide access expansion following its launch. As of June 30, 2026, the number of DTP pharmacies and hospitals where Lisaftoclax is on formulary reached 415, including 60 hospitals where Lisaftoclax is on the formulary.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half of 2026, guideline recognition and clinical evidence continued to reinforce the clinical positioning of both of our commercialized products.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Olverembatinib maintained its established position as a recommended therapy across leading domestic and international guidelines, including the </w:t>
            </w:r>
            <w:r>
              <w:rPr>
                <w:i/>
              </w:rPr>
              <w:t>CACA guidelines</w:t>
            </w:r>
            <w:r>
              <w:rPr/>
              <w:t xml:space="preserve">, the </w:t>
            </w:r>
            <w:r>
              <w:rPr>
                <w:i/>
              </w:rPr>
              <w:t>CSCO guidelines</w:t>
            </w:r>
            <w:r>
              <w:rPr/>
              <w:t xml:space="preserve"> for CML and Ph+ ALL, the NCCN guidelines, and the European LeukemiaNet Recommendations.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Lisaftoclax further strengthened its clinical positioning through comprehensive recognition in the 2026 CSCO guidelines: in the </w:t>
            </w:r>
            <w:r>
              <w:rPr>
                <w:i/>
              </w:rPr>
              <w:t>2026 CSCO Guidelines for the Diagnosis and Treatment of Lymphoma</w:t>
            </w:r>
            <w:r>
              <w:rPr/>
              <w:t xml:space="preserve">, Lisaftoclax received a Level I recommendation as monotherapy for R/R CLL/SLL, a Level II recommendation in combination with rituximab, and a Level III recommendation in combination with acalabrutinib; in the </w:t>
            </w:r>
            <w:r>
              <w:rPr>
                <w:i/>
              </w:rPr>
              <w:t>2026 CSCO Guidelines for the Diagnosis and Treatment of Malignant Hematologic Diseases</w:t>
            </w:r>
            <w:r>
              <w:rPr/>
              <w:t>, Lisaftoclax was recommended as a core first-line option for older/unfit patients with AML, as a treatment option for hypomethylating agent (HMA)-exposed unfit AML patients, and within the recommended HMA plus Bcl-2 inhibitor regimen for higher-risk MDS.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expanding guideline endorsements and the continued accumulation of clinical evidence further consolidate the differentiated positioning of Olverembatinib and Lisaftoclax, and provide a solid foundation for the sustained long-term commercial growth of our dual-engine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CHEMISTRY, MANUFACTURING AND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our own Suzhou facility as our global R&amp;D center and manufacturing facility. The R&amp;D center and the manufacturing center were commissioned in the second half of 2021 and the fourth quarter of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Suzhou manufacturing Center has a capacity exceeding 200,000 square feet, and the manufacturing capacity for both oral solid tablet and capsule formulations is up to 250 million dosage units per year. We also maintain manufacturing capability at the Suzhou center for injectable drug products, including lyophilized formulations. We have the necessary licenses and approvals to manufacture and supply Olverembatinib oral solid tablets to supply global clinical trials as well as for commercial sales in the China market. We completed the drug tablet coating, debossing development, and the GMP production of Olverembatinib tablets, thereby preparing for future applications to global regulatory authorities, including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Manufacturing Center and quality management system implemented at the site are compliant with the standards of the European Union Good Manufacturing Practice (EU GMP), marking the achievement of a major milestone that will pave the way for our continued global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Global Manufacturing Center can produce and supply Lisaftoclax tablets for our global clinical trials. Since NDA approval in July 2025, commercial batches of Lisaftoclax tablets for China market have been consistently and steadily supplied by our China manufacturing partner, while at the same time, our Suzhou manufacturing center is being prepared for commercial production and supply for the China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lease an approximately 50,000-square-foot facility for R&amp;D and manufacturing in China Medical City, Taizhou, Jiangsu Province, China, where we produce and supply preclinical test articles and clinical trial materials for some of our drug candidates. We believe that the existing facilities are adequate for our current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strong in-house research and development team, we have established global collaboration and other relationships with leading biotechnology and pharmaceutical companies as well as academic institutions. We will continue to seek opportune strategic partnerships to maximize the value of our pipeline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Ascentage Pharma, Ascentage HK, Ascentage GZ, Ascentage SZ and Takeda Pharmaceuticals International AG or Takeda entered into an Exclusive Option Agreement, pursuant to which we granted Takeda an exclusive option to enter into an exclusive license agreement for the development and commercialization of Olverembatinib. If exercised, the Option would allow Takeda to license global rights to develop and commercialize Olverembatinib in all territories outside of the PRC, Hong Kong, Macau, Taiwan and Russia. Pursuant to the Exclusive Option Agreement, Ascentage Pharma continues all clinical development of Olverembatinib until Takeda exercises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Ascentage Pharma continues to work closely with Takeda to implement the Exclusive 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there was no fund raising activity carried out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 Compared to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7019" w:type="dxa"/>
        <w:jc w:val="left"/>
        <w:tblInd w:w="0" w:type="dxa"/>
        <w:tblLayout w:type="fixed"/>
        <w:tblCellMar>
          <w:top w:w="0" w:type="dxa"/>
          <w:left w:w="0" w:type="dxa"/>
          <w:bottom w:w="0" w:type="dxa"/>
          <w:right w:w="0" w:type="dxa"/>
        </w:tblCellMar>
      </w:tblPr>
      <w:tblGrid>
        <w:gridCol w:w="4670"/>
        <w:gridCol w:w="60"/>
        <w:gridCol w:w="64"/>
        <w:gridCol w:w="960"/>
        <w:gridCol w:w="99"/>
        <w:gridCol w:w="62"/>
        <w:gridCol w:w="63"/>
        <w:gridCol w:w="931"/>
        <w:gridCol w:w="110"/>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9" w:type="dxa"/>
            <w:gridSpan w:val="6"/>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center"/>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center"/>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b/>
              </w:rPr>
            </w:pPr>
            <w:r>
              <w:rPr>
                <w:b/>
              </w:rPr>
              <w:t>RMB’000</w:t>
            </w:r>
          </w:p>
        </w:tc>
        <w:tc>
          <w:tcPr>
            <w:tcW w:w="99"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RMB’000</w:t>
            </w:r>
          </w:p>
        </w:tc>
        <w:tc>
          <w:tcPr>
            <w:tcW w:w="110" w:type="dxa"/>
            <w:tcBorders/>
            <w:vAlign w:val="center"/>
          </w:tcPr>
          <w:p>
            <w:pPr>
              <w:pStyle w:val="TableContents"/>
              <w:bidi w:val="0"/>
              <w:spacing w:before="0" w:after="283"/>
              <w:jc w:val="center"/>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b/>
              </w:rPr>
            </w:pPr>
            <w:r>
              <w:rPr>
                <w:b/>
              </w:rPr>
              <w:t>302,214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233,699</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Other income and gains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b/>
              </w:rPr>
            </w:pPr>
            <w:r>
              <w:rPr>
                <w:b/>
              </w:rPr>
              <w:t>44,827</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36,661</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Selling and distribution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b/>
              </w:rPr>
            </w:pPr>
            <w:r>
              <w:rPr>
                <w:b/>
              </w:rPr>
              <w:t>(226,355</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(137,787</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b/>
              </w:rPr>
            </w:pPr>
            <w:r>
              <w:rPr>
                <w:b/>
              </w:rPr>
              <w:t>(697,460</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(528,561</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b/>
              </w:rPr>
            </w:pPr>
            <w:r>
              <w:rPr>
                <w:b/>
              </w:rPr>
              <w:t>(118,930</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(99,685</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b/>
              </w:rPr>
            </w:pPr>
            <w:r>
              <w:rPr>
                <w:b/>
              </w:rPr>
              <w:t>(26,814</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(27,798</w:t>
            </w:r>
          </w:p>
        </w:tc>
        <w:tc>
          <w:tcPr>
            <w:tcW w:w="110" w:type="dxa"/>
            <w:tcBorders/>
            <w:shd w:fill="FFFFFF" w:val="clear"/>
            <w:vAlign w:val="center"/>
          </w:tcPr>
          <w:p>
            <w:pPr>
              <w:pStyle w:val="TableContents"/>
              <w:bidi w:val="0"/>
              <w:spacing w:before="0" w:after="283"/>
              <w:jc w:val="left"/>
              <w:rPr/>
            </w:pPr>
            <w:r>
              <w:rPr/>
              <w:t>)</w:t>
            </w:r>
          </w:p>
        </w:tc>
      </w:tr>
      <w:tr>
        <w:trPr/>
        <w:tc>
          <w:tcPr>
            <w:tcW w:w="4670"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b/>
              </w:rPr>
            </w:pPr>
            <w:r>
              <w:rPr>
                <w:b/>
              </w:rPr>
              <w:t>(69,110</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(40,192</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(Loss)/profit for the period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b/>
              </w:rPr>
            </w:pPr>
            <w:r>
              <w:rPr>
                <w:b/>
              </w:rPr>
              <w:t>(816,998</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(590,824</w:t>
            </w:r>
          </w:p>
        </w:tc>
        <w:tc>
          <w:tcPr>
            <w:tcW w:w="110" w:type="dxa"/>
            <w:tcBorders/>
            <w:shd w:fill="CCEEFF" w:val="clear"/>
            <w:vAlign w:val="center"/>
          </w:tcPr>
          <w:p>
            <w:pPr>
              <w:pStyle w:val="TableContents"/>
              <w:bidi w:val="0"/>
              <w:spacing w:before="0" w:after="283"/>
              <w:jc w:val="left"/>
              <w:rPr/>
            </w:pPr>
            <w:r>
              <w:rPr/>
              <w:t>)</w:t>
            </w:r>
          </w:p>
        </w:tc>
      </w:tr>
      <w:tr>
        <w:trPr/>
        <w:tc>
          <w:tcPr>
            <w:tcW w:w="4670" w:type="dxa"/>
            <w:tcBorders/>
            <w:shd w:fill="FFFFFF" w:val="clear"/>
            <w:vAlign w:val="center"/>
          </w:tcPr>
          <w:p>
            <w:pPr>
              <w:pStyle w:val="TableContents"/>
              <w:bidi w:val="0"/>
              <w:spacing w:before="0" w:after="283"/>
              <w:jc w:val="left"/>
              <w:rPr/>
            </w:pPr>
            <w:r>
              <w:rPr/>
              <w:t>Total comprehensive (loss)/income for the period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b/>
              </w:rPr>
            </w:pPr>
            <w:r>
              <w:rPr>
                <w:b/>
              </w:rPr>
              <w:t>(845,127</w:t>
            </w:r>
          </w:p>
        </w:tc>
        <w:tc>
          <w:tcPr>
            <w:tcW w:w="99"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(591,764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676"/>
        <w:gridCol w:w="8211"/>
      </w:tblGrid>
      <w:tr>
        <w:trPr/>
        <w:tc>
          <w:tcPr>
            <w:tcW w:w="31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pPr>
            <w:r>
              <w:rPr/>
              <w:t>1.</w:t>
            </w:r>
          </w:p>
        </w:tc>
        <w:tc>
          <w:tcPr>
            <w:tcW w:w="8211" w:type="dxa"/>
            <w:tcBorders/>
            <w:vAlign w:val="center"/>
          </w:tcPr>
          <w:p>
            <w:pPr>
              <w:pStyle w:val="TableContents"/>
              <w:bidi w:val="0"/>
              <w:spacing w:before="0" w:after="283"/>
              <w:jc w:val="both"/>
              <w:rPr/>
            </w:pPr>
            <w:r>
              <w:rPr/>
              <w:t>Overview</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recorded revenue of RMB302.2 million, as compared with RMB233.7 million for the six months ended June 30, 2025, and the total comprehensive loss of RMB845.1 million, as compared with the total comprehensive loss of RMB591.8 million for the six months ended June 30, 2025. The loss of the Group was RMB817.0 million for the six months ended June 30, 2026, as compared with the loss of RMB590.8 million for the six months ended June 30, 2025. The selling and distribution expenses of the Group was RMB226.4 million for the six months ended June 30, 2026, as compared with RMB137.8 million for the six months ended June 30, 2025. The research and development expenses of the Group was RMB697.5 million for the six months ended June 30, 2026, as compared with RMB528.6 million for the six months ended June 30, 2025. The administrative expenses of the Group were RMB118.9 million for the six months ended June 30, 2026, as compared with RMB99.7 million for the six months ended June 30,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20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875" w:type="dxa"/>
            <w:tcBorders/>
            <w:vAlign w:val="center"/>
          </w:tcPr>
          <w:p>
            <w:pPr>
              <w:pStyle w:val="TableContents"/>
              <w:bidi w:val="0"/>
              <w:spacing w:before="0" w:after="283"/>
              <w:jc w:val="both"/>
              <w:rPr/>
            </w:pPr>
            <w:r>
              <w:rPr/>
              <w:t>Revenue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generated revenue of RMB302.2 million from the sales of pharmaceutical products, commercialization rights income from Innovent Suzhou and service income, as compared to RMB233.7 million for the six months ended June 30, 2025 representing an increase of RMB68.5 million, or 29.3%.</w:t>
      </w:r>
    </w:p>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20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2360" w:type="dxa"/>
            <w:tcBorders/>
            <w:vAlign w:val="center"/>
          </w:tcPr>
          <w:p>
            <w:pPr>
              <w:pStyle w:val="TableContents"/>
              <w:bidi w:val="0"/>
              <w:spacing w:before="0" w:after="283"/>
              <w:jc w:val="both"/>
              <w:rPr/>
            </w:pPr>
            <w:r>
              <w:rPr/>
              <w:t>Other Income and Gains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income and gains primarily consist of (i) interest income on time deposit at banks; and (ii) government grants related to income. Government grants related to income mainly represent the subsidies received from local governments for the purpose of compensation for expenses arising from research activities and clinical trials, and awards for new drugs development. These government grants related to income were recognized in profit or loss when related costs were subsequently incurred and upon receipt of the acknowledgment of compliance from the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gains for the six months ended June 30, 2026 was RMB44.8 million, as compared to RMB36.7 million for the six months ended June 30, 2025, representing an increase of RMB8.2 million, or 22.3%, which was primarily attributable to (i) the increase in bank interest income to RMB36.0 million for the six months ended June 30, 2026, as compared with RMB31.4 million for the six months ended June 30, 2025; and (ii) the increase in government grants related to income to RMB4.6 million for the six months ended June 30, 2026, as compared with RMB1.0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3245" w:type="dxa"/>
            <w:tcBorders/>
            <w:vAlign w:val="center"/>
          </w:tcPr>
          <w:p>
            <w:pPr>
              <w:pStyle w:val="TableContents"/>
              <w:bidi w:val="0"/>
              <w:spacing w:before="0" w:after="283"/>
              <w:jc w:val="both"/>
              <w:rPr/>
            </w:pPr>
            <w:r>
              <w:rPr/>
              <w:t>Selling and Distribution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selling and distribution expenses primarily consist of marketing expenses, staff costs and travel and meeting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selling and distribution expenses of the Group increased by RMB88.6 million, or 64.3%, to RMB226.4 million, as compared to RMB137.8 million for the six months ended June 30, 2025. The increase was attributable to the increase in selling and distribution expenses incurred in the commercialization of Lisaftoclax.</w:t>
      </w:r>
    </w:p>
    <w:p>
      <w:pPr>
        <w:pStyle w:val="TextBody"/>
        <w:bidi w:val="0"/>
        <w:spacing w:before="0" w:after="0"/>
        <w:ind w:left="0" w:right="0" w:hanging="0"/>
        <w:jc w:val="both"/>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20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605" w:type="dxa"/>
            <w:tcBorders/>
            <w:vAlign w:val="center"/>
          </w:tcPr>
          <w:p>
            <w:pPr>
              <w:pStyle w:val="TableContents"/>
              <w:bidi w:val="0"/>
              <w:spacing w:before="0" w:after="283"/>
              <w:jc w:val="both"/>
              <w:rPr/>
            </w:pPr>
            <w:r>
              <w:rPr/>
              <w:t>Research and Development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research and development expenses primarily consist of internal research and development expenses, external research and development expenses, staff costs, IP expenses, materials, depreciation and amortization and RSU expenses of research and development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research and development expenses of the Group increased by RMB168.9 million, or 32.0% to RMB697.5 million from RMB528.6 million for the six months ended June 30, 2025. The increase was primarily attributable to the increased internal research and development expenses.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of our research and development expenses by nature for the periods indicated.</w:t>
      </w:r>
    </w:p>
    <w:p>
      <w:pPr>
        <w:pStyle w:val="TextBody"/>
        <w:bidi w:val="0"/>
        <w:spacing w:before="0" w:after="0"/>
        <w:ind w:left="0" w:right="0" w:hanging="0"/>
        <w:jc w:val="both"/>
        <w:rPr>
          <w:caps w:val="false"/>
          <w:smallCaps w:val="false"/>
        </w:rPr>
      </w:pPr>
      <w:r>
        <w:rPr>
          <w:caps w:val="false"/>
          <w:smallCaps w:val="false"/>
        </w:rPr>
        <w:t> </w:t>
      </w:r>
    </w:p>
    <w:tbl>
      <w:tblPr>
        <w:tblW w:w="6691" w:type="dxa"/>
        <w:jc w:val="left"/>
        <w:tblInd w:w="0" w:type="dxa"/>
        <w:tblLayout w:type="fixed"/>
        <w:tblCellMar>
          <w:top w:w="0" w:type="dxa"/>
          <w:left w:w="0" w:type="dxa"/>
          <w:bottom w:w="0" w:type="dxa"/>
          <w:right w:w="0" w:type="dxa"/>
        </w:tblCellMar>
      </w:tblPr>
      <w:tblGrid>
        <w:gridCol w:w="4400"/>
        <w:gridCol w:w="60"/>
        <w:gridCol w:w="71"/>
        <w:gridCol w:w="953"/>
        <w:gridCol w:w="69"/>
        <w:gridCol w:w="69"/>
        <w:gridCol w:w="69"/>
        <w:gridCol w:w="925"/>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6"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4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4" w:type="dxa"/>
            <w:gridSpan w:val="2"/>
            <w:tcBorders/>
            <w:vAlign w:val="center"/>
          </w:tcPr>
          <w:p>
            <w:pPr>
              <w:pStyle w:val="TableContents"/>
              <w:bidi w:val="0"/>
              <w:spacing w:before="0" w:after="283"/>
              <w:jc w:val="center"/>
              <w:rPr>
                <w:b/>
              </w:rPr>
            </w:pPr>
            <w:r>
              <w:rPr>
                <w:b/>
              </w:rPr>
              <w:t>RMB’000</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Internal research and development expenses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b/>
              </w:rPr>
            </w:pPr>
            <w:r>
              <w:rPr>
                <w:b/>
              </w:rPr>
              <w:t>301,403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217,376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External research and development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b/>
              </w:rPr>
            </w:pPr>
            <w:r>
              <w:rPr>
                <w:b/>
              </w:rPr>
              <w:t>86,194</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79,297</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Staff costs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b/>
              </w:rPr>
            </w:pPr>
            <w:r>
              <w:rPr>
                <w:b/>
              </w:rPr>
              <w:t>197,464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173,472</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IP expenses</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b/>
              </w:rPr>
            </w:pPr>
            <w:r>
              <w:rPr>
                <w:b/>
              </w:rPr>
              <w:t>7,330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4,417</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Materials</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b/>
              </w:rPr>
            </w:pPr>
            <w:r>
              <w:rPr>
                <w:b/>
              </w:rPr>
              <w:t>21,425</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12,826</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b/>
              </w:rPr>
            </w:pPr>
            <w:r>
              <w:rPr>
                <w:b/>
              </w:rPr>
              <w:t>11,082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pPr>
            <w:r>
              <w:rPr/>
              <w:t>13,553</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Share option and RSU expenses of R&amp;D staff</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b/>
              </w:rPr>
            </w:pPr>
            <w:r>
              <w:rPr>
                <w:b/>
              </w:rPr>
              <w:t>17,863</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7,928</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54,699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19,692</w:t>
            </w:r>
          </w:p>
        </w:tc>
        <w:tc>
          <w:tcPr>
            <w:tcW w:w="75"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697,460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5" w:type="dxa"/>
            <w:tcBorders>
              <w:bottom w:val="single" w:sz="12" w:space="0" w:color="000000"/>
            </w:tcBorders>
            <w:shd w:fill="FFFFFF" w:val="clear"/>
            <w:tcMar>
              <w:bottom w:w="28" w:type="dxa"/>
            </w:tcMar>
            <w:vAlign w:val="center"/>
          </w:tcPr>
          <w:p>
            <w:pPr>
              <w:pStyle w:val="TableContents"/>
              <w:bidi w:val="0"/>
              <w:spacing w:before="0" w:after="283"/>
              <w:jc w:val="right"/>
              <w:rPr/>
            </w:pPr>
            <w:r>
              <w:rPr/>
              <w:t>528,561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0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2390" w:type="dxa"/>
            <w:tcBorders/>
            <w:vAlign w:val="center"/>
          </w:tcPr>
          <w:p>
            <w:pPr>
              <w:pStyle w:val="TableContents"/>
              <w:bidi w:val="0"/>
              <w:spacing w:before="0" w:after="283"/>
              <w:jc w:val="both"/>
              <w:rPr/>
            </w:pPr>
            <w:r>
              <w:rPr/>
              <w:t>Administrative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administrative expenses of the Group increased by RMB19.2 million, or 19.3% to RMB118.9 million from RMB99.7 million for the six months ended June 30, 2025. The increase was primarily due to the increased share option and RSU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components of our administrative expenses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5429" w:type="dxa"/>
        <w:jc w:val="left"/>
        <w:tblInd w:w="0" w:type="dxa"/>
        <w:tblLayout w:type="fixed"/>
        <w:tblCellMar>
          <w:top w:w="0" w:type="dxa"/>
          <w:left w:w="0" w:type="dxa"/>
          <w:bottom w:w="0" w:type="dxa"/>
          <w:right w:w="0" w:type="dxa"/>
        </w:tblCellMar>
      </w:tblPr>
      <w:tblGrid>
        <w:gridCol w:w="3095"/>
        <w:gridCol w:w="60"/>
        <w:gridCol w:w="73"/>
        <w:gridCol w:w="986"/>
        <w:gridCol w:w="73"/>
        <w:gridCol w:w="73"/>
        <w:gridCol w:w="79"/>
        <w:gridCol w:w="915"/>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9"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9" w:type="dxa"/>
            <w:gridSpan w:val="2"/>
            <w:tcBorders/>
            <w:vAlign w:val="center"/>
          </w:tcPr>
          <w:p>
            <w:pPr>
              <w:pStyle w:val="TableContents"/>
              <w:bidi w:val="0"/>
              <w:spacing w:before="0" w:after="283"/>
              <w:jc w:val="center"/>
              <w:rPr>
                <w:b/>
              </w:rPr>
            </w:pPr>
            <w:r>
              <w:rPr>
                <w:b/>
              </w:rPr>
              <w:t>RMB’000</w:t>
            </w:r>
          </w:p>
        </w:tc>
        <w:tc>
          <w:tcPr>
            <w:tcW w:w="73" w:type="dxa"/>
            <w:tcBorders/>
            <w:vAlign w:val="center"/>
          </w:tcPr>
          <w:p>
            <w:pPr>
              <w:pStyle w:val="TableContents"/>
              <w:bidi w:val="0"/>
              <w:spacing w:before="0" w:after="283"/>
              <w:jc w:val="center"/>
              <w:rPr/>
            </w:pPr>
            <w:r>
              <w:rPr/>
              <w:t> </w:t>
            </w:r>
          </w:p>
        </w:tc>
        <w:tc>
          <w:tcPr>
            <w:tcW w:w="73"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9" w:type="dxa"/>
            <w:gridSpan w:val="2"/>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Share option and RSU expenses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b/>
              </w:rPr>
            </w:pPr>
            <w:r>
              <w:rPr>
                <w:b/>
              </w:rPr>
              <w:t>13,118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1,201</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Staff costs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rPr>
            </w:pPr>
            <w:r>
              <w:rPr>
                <w:b/>
              </w:rPr>
              <w:t>36,923</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pPr>
            <w:r>
              <w:rPr/>
              <w:t>35,431</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b/>
              </w:rPr>
            </w:pPr>
            <w:r>
              <w:rPr>
                <w:b/>
              </w:rPr>
              <w:t>25,745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24,949</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43,144</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38,104</w:t>
            </w:r>
          </w:p>
        </w:tc>
        <w:tc>
          <w:tcPr>
            <w:tcW w:w="75"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118,930</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FFFFFF" w:val="clear"/>
            <w:tcMar>
              <w:bottom w:w="28" w:type="dxa"/>
            </w:tcMar>
            <w:vAlign w:val="center"/>
          </w:tcPr>
          <w:p>
            <w:pPr>
              <w:pStyle w:val="TableContents"/>
              <w:bidi w:val="0"/>
              <w:spacing w:before="0" w:after="283"/>
              <w:jc w:val="right"/>
              <w:rPr/>
            </w:pPr>
            <w:r>
              <w:rPr/>
              <w:t>99,685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0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1370" w:type="dxa"/>
            <w:tcBorders/>
            <w:vAlign w:val="center"/>
          </w:tcPr>
          <w:p>
            <w:pPr>
              <w:pStyle w:val="TableContents"/>
              <w:bidi w:val="0"/>
              <w:spacing w:before="0" w:after="283"/>
              <w:jc w:val="both"/>
              <w:rPr/>
            </w:pPr>
            <w:r>
              <w:rPr/>
              <w:t>Finance Costs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represented mainly interest expenses from bank borrowings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finance costs of the Group decreased by RMB1.0 million, or 3.5% to RMB26.8 million from RMB27.8 million for the six months ended June 30, 2025. The decrease was primarily attributable to decreased interest incurred in relation to bank borrowings.</w:t>
      </w:r>
    </w:p>
    <w:p>
      <w:pPr>
        <w:pStyle w:val="TextBody"/>
        <w:bidi w:val="0"/>
        <w:spacing w:before="0" w:after="0"/>
        <w:ind w:left="0"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20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1535" w:type="dxa"/>
            <w:tcBorders/>
            <w:vAlign w:val="center"/>
          </w:tcPr>
          <w:p>
            <w:pPr>
              <w:pStyle w:val="TableContents"/>
              <w:bidi w:val="0"/>
              <w:spacing w:before="0" w:after="283"/>
              <w:jc w:val="both"/>
              <w:rPr/>
            </w:pPr>
            <w:r>
              <w:rPr/>
              <w:t>Other Expenses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other expenses mainly consisted of donation, foreign exchange loss and asset impairment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Group reported other expenses of RMB69.1 million, as compared to other expenses of RMB40.2 million for the six months ended June 30, 2025, which represented an increase of RMB28.9 million, or 71.9%. The increase was primarily due to (i) the increase in donations to RMB20.7 million for the six months ended June 30, 2026, as compared to RMB7.7 million for the six months ended June 30, 2025, and (ii) the increase in foreign exchange loss to RMB24.0 million for the six months ended June 30, 2026, as compared to RMB2.7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20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2840" w:type="dxa"/>
            <w:tcBorders/>
            <w:vAlign w:val="center"/>
          </w:tcPr>
          <w:p>
            <w:pPr>
              <w:pStyle w:val="TableContents"/>
              <w:bidi w:val="0"/>
              <w:spacing w:before="0" w:after="283"/>
              <w:jc w:val="both"/>
              <w:rPr/>
            </w:pPr>
            <w:r>
              <w:rPr/>
              <w:t>Loss for the Reporting Period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loss of the Company increased by RMB226.2 million, to RMB817.0 million for the six months ended June 30, 2026 from the loss of RMB590.8 million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320"/>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1160" w:type="dxa"/>
            <w:tcBorders/>
            <w:vAlign w:val="center"/>
          </w:tcPr>
          <w:p>
            <w:pPr>
              <w:pStyle w:val="TableContents"/>
              <w:bidi w:val="0"/>
              <w:spacing w:before="0" w:after="283"/>
              <w:jc w:val="both"/>
              <w:rPr/>
            </w:pPr>
            <w:r>
              <w:rPr/>
              <w:t>Cash Flows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outflows used in operating activities of the Group amounted to RMB581.2 million, as compared to that of RMB432.1 million for the six months ended June 30, 2025, mainly due to increase of research and development expenses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inflows from investing activities of the Group amounted to RMB930.4 million, which consisted of (i) the net cash inflows increased in time deposits of RMB945.3 million; (ii) the net increase in property, plant and equipment and other intangible assets of RMB11.9 million; and (iii) the net increase in purchase of equity investments of RMB3.0 million. For the six months ended June 30, 2025, net cash outflow from investing activities amounted to RMB704.5 million, which consisted of (i) the net increase in property, plant and equipment and other intangible assets of RMB20.0 million; (ii) the net increase in time deposits of RMB637.1 million; (iii) the net increase in purchase of equity investments of RMB4.0 million; and (iv) net increase in contingent consideration related to Guangzhou Healthquest Pharma Co., Ltd of RMB43.4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inflows from financing activities of the Group amounted to RMB73.7 million, which mainly consisted of (i) net proceeds of bank loans which amounted to RMB112.2 million; and (ii) interest paid which amounted to RMB26.1 million. For the six months ended June 30, 2025, net cash inflows from financing activities amounted to RMB950.7 million, which mainly consisted of (i) net proceeds arising from the initial public offering on Nasdaq of RMB950.2 million; (ii) net proceeds of bank loans which amounted to RMB50.3 million; and (iii) interest paid which amounted to RMB26.2 million.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32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2030" w:type="dxa"/>
            <w:tcBorders/>
            <w:vAlign w:val="center"/>
          </w:tcPr>
          <w:p>
            <w:pPr>
              <w:pStyle w:val="TableContents"/>
              <w:bidi w:val="0"/>
              <w:spacing w:before="0" w:after="283"/>
              <w:jc w:val="both"/>
              <w:rPr/>
            </w:pPr>
            <w:r>
              <w:rPr/>
              <w:t>Key Financial Ratios</w:t>
            </w:r>
          </w:p>
        </w:tc>
      </w:tr>
    </w:tbl>
    <w:p>
      <w:pPr>
        <w:pStyle w:val="TextBody"/>
        <w:bidi w:val="0"/>
        <w:spacing w:before="0" w:after="0"/>
        <w:ind w:left="0" w:right="0" w:hanging="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1505"/>
        <w:gridCol w:w="60"/>
        <w:gridCol w:w="87"/>
        <w:gridCol w:w="638"/>
        <w:gridCol w:w="260"/>
        <w:gridCol w:w="60"/>
        <w:gridCol w:w="191"/>
        <w:gridCol w:w="1223"/>
        <w:gridCol w:w="75"/>
      </w:tblGrid>
      <w:tr>
        <w:trPr/>
        <w:tc>
          <w:tcPr>
            <w:tcW w:w="1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 at </w:t>
              <w:br/>
              <w:t xml:space="preserve">December 31, </w:t>
              <w:br/>
              <w:t>2025</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Current ratio</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b/>
              </w:rPr>
            </w:pPr>
            <w:r>
              <w:rPr>
                <w:b/>
              </w:rPr>
              <w:t>1.2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Quick ratio</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b/>
              </w:rPr>
            </w:pPr>
            <w:r>
              <w:rPr>
                <w:b/>
              </w:rPr>
              <w:t>1.2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1.8</w:t>
            </w:r>
          </w:p>
        </w:tc>
        <w:tc>
          <w:tcPr>
            <w:tcW w:w="75"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Gearing ratio</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b/>
              </w:rPr>
            </w:pPr>
            <w:r>
              <w:rPr>
                <w:b/>
              </w:rPr>
              <w:t>35.8</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9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900" w:type="dxa"/>
            <w:tcBorders/>
            <w:vAlign w:val="center"/>
          </w:tcPr>
          <w:p>
            <w:pPr>
              <w:pStyle w:val="TableContents"/>
              <w:bidi w:val="0"/>
              <w:spacing w:before="0" w:after="283"/>
              <w:jc w:val="both"/>
              <w:rPr/>
            </w:pPr>
            <w:r>
              <w:rPr/>
              <w:t>Current ratio is calculated using current assets divided by current liabilities as at the same date.</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(2)</w:t>
            </w:r>
          </w:p>
        </w:tc>
        <w:tc>
          <w:tcPr>
            <w:tcW w:w="9884" w:type="dxa"/>
            <w:tcBorders/>
            <w:vAlign w:val="center"/>
          </w:tcPr>
          <w:p>
            <w:pPr>
              <w:pStyle w:val="TableContents"/>
              <w:bidi w:val="0"/>
              <w:spacing w:before="0" w:after="283"/>
              <w:jc w:val="both"/>
              <w:rPr/>
            </w:pPr>
            <w:r>
              <w:rPr/>
              <w:t>Quick ratio is calculated using current assets less inventories and divided by current liabilities as at the same date.</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Gearing ratio is calculated using interest-bearing borrowings less cash and bank balances divided by total equity and multiplied by 100%. The increase was primarily attributable to (i) the decrease of total equity from RMB1,324.5 million as at December 31, 2025 to RMB556.4 million as at June 30, 2026, and (ii) the decrease of cash and bank balances from RMB2,479.1 million as at December 31, 2025 to RMB1895.6 million as at June 30, 2026.</w:t>
            </w:r>
          </w:p>
        </w:tc>
      </w:tr>
    </w:tbl>
    <w:p>
      <w:pPr>
        <w:pStyle w:val="TextBody"/>
        <w:bidi w:val="0"/>
        <w:spacing w:before="0" w:after="0"/>
        <w:ind w:left="0" w:right="0" w:hanging="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2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2240" w:type="dxa"/>
            <w:tcBorders/>
            <w:vAlign w:val="center"/>
          </w:tcPr>
          <w:p>
            <w:pPr>
              <w:pStyle w:val="TableContents"/>
              <w:bidi w:val="0"/>
              <w:spacing w:before="0" w:after="283"/>
              <w:jc w:val="both"/>
              <w:rPr/>
            </w:pPr>
            <w:r>
              <w:rPr/>
              <w:t>Significant Investments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there were no significant investments held by the Group.</w:t>
      </w:r>
    </w:p>
    <w:p>
      <w:pPr>
        <w:pStyle w:val="TextBody"/>
        <w:bidi w:val="0"/>
        <w:spacing w:before="0" w:after="0"/>
        <w:ind w:left="0" w:right="0" w:hanging="0"/>
        <w:jc w:val="both"/>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32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270" w:type="dxa"/>
            <w:tcBorders/>
            <w:vAlign w:val="center"/>
          </w:tcPr>
          <w:p>
            <w:pPr>
              <w:pStyle w:val="TableContents"/>
              <w:bidi w:val="0"/>
              <w:spacing w:before="0" w:after="283"/>
              <w:jc w:val="both"/>
              <w:rPr/>
            </w:pPr>
            <w:r>
              <w:rPr/>
              <w:t>Foreign Exchange Risk</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expressed in RMB, but certain of our cash and bank balances, other receivables and other assets, other investments classified as financial assets measured at FVTPL and trade and other payables are denominated in foreign currencies, and are exposed to foreign currency risk. We currently do not have a foreign currency hedging policy. However, the management monitors foreign exchange exposure and will consider hedging significant foreign currency exposure should the need arise.</w:t>
      </w:r>
    </w:p>
    <w:p>
      <w:pPr>
        <w:pStyle w:val="TextBody"/>
        <w:bidi w:val="0"/>
        <w:spacing w:before="0" w:after="0"/>
        <w:ind w:left="0" w:right="0" w:hanging="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32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3440" w:type="dxa"/>
            <w:tcBorders/>
            <w:vAlign w:val="center"/>
          </w:tcPr>
          <w:p>
            <w:pPr>
              <w:pStyle w:val="TableContents"/>
              <w:bidi w:val="0"/>
              <w:spacing w:before="0" w:after="283"/>
              <w:jc w:val="both"/>
              <w:rPr/>
            </w:pPr>
            <w:r>
              <w:rPr/>
              <w:t>Material Acquisitions and Disposals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have any material acquisitions or disposals of subsidiaries, consolidated affiliated entities, associated companies or joint ventures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32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3380" w:type="dxa"/>
            <w:tcBorders/>
            <w:vAlign w:val="center"/>
          </w:tcPr>
          <w:p>
            <w:pPr>
              <w:pStyle w:val="TableContents"/>
              <w:bidi w:val="0"/>
              <w:spacing w:before="0" w:after="283"/>
              <w:jc w:val="both"/>
              <w:rPr/>
            </w:pPr>
            <w:r>
              <w:rPr/>
              <w:t>Bank Loans and Other Borrowings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we had bank loans of RMB2,070.8 million denominated in RMB and lease liabilities of RMB23.7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none of the Group’s borrowings were at fixed interest rates.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tbl>
      <w:tblPr>
        <w:tblW w:w="9365" w:type="dxa"/>
        <w:jc w:val="left"/>
        <w:tblInd w:w="0" w:type="dxa"/>
        <w:tblLayout w:type="fixed"/>
        <w:tblCellMar>
          <w:top w:w="0" w:type="dxa"/>
          <w:left w:w="0" w:type="dxa"/>
          <w:bottom w:w="0" w:type="dxa"/>
          <w:right w:w="0" w:type="dxa"/>
        </w:tblCellMar>
      </w:tblPr>
      <w:tblGrid>
        <w:gridCol w:w="4985"/>
        <w:gridCol w:w="60"/>
        <w:gridCol w:w="2030"/>
        <w:gridCol w:w="60"/>
        <w:gridCol w:w="1055"/>
        <w:gridCol w:w="60"/>
        <w:gridCol w:w="60"/>
        <w:gridCol w:w="980"/>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Effective interest rate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annum (%)</w:t>
            </w:r>
          </w:p>
        </w:tc>
        <w:tc>
          <w:tcPr>
            <w:tcW w:w="60" w:type="dxa"/>
            <w:tcBorders/>
            <w:vAlign w:val="center"/>
          </w:tcPr>
          <w:p>
            <w:pPr>
              <w:pStyle w:val="TableContents"/>
              <w:bidi w:val="0"/>
              <w:spacing w:before="0" w:after="283"/>
              <w:jc w:val="center"/>
              <w:rPr/>
            </w:pPr>
            <w:r>
              <w:rPr/>
              <w:t> </w:t>
            </w:r>
          </w:p>
        </w:tc>
        <w:tc>
          <w:tcPr>
            <w:tcW w:w="1055"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RMB’000</w:t>
            </w:r>
          </w:p>
        </w:tc>
        <w:tc>
          <w:tcPr>
            <w:tcW w:w="7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Short-term borrowing – unsecured</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2.11-2.26 or </w:t>
            </w:r>
          </w:p>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 LPR-0.30 to 0.89</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b/>
              </w:rPr>
            </w:pPr>
            <w:r>
              <w:rPr>
                <w:b/>
              </w:rPr>
              <w:t>2026-2027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1,438,000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unsecured</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1 year LPR-0.50</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b/>
              </w:rPr>
            </w:pPr>
            <w:r>
              <w:rPr>
                <w:b/>
              </w:rPr>
              <w:t>2026-2027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11,000</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secured*</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5 year LPR-0.85</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b/>
              </w:rPr>
            </w:pPr>
            <w:r>
              <w:rPr>
                <w:b/>
              </w:rPr>
              <w:t>2026-2027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16,498</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4.00-4.35</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b/>
              </w:rPr>
            </w:pPr>
            <w:r>
              <w:rPr>
                <w:b/>
              </w:rPr>
              <w:t>2026-2027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9,624</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1,475,122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Bank loans – unsecured</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1 year LPR-0.50</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b/>
              </w:rPr>
            </w:pPr>
            <w:r>
              <w:rPr>
                <w:b/>
              </w:rPr>
              <w:t>2027-2028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33,000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Bank loans – secured*</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5 year LPR-0.85</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b/>
              </w:rPr>
            </w:pPr>
            <w:r>
              <w:rPr>
                <w:b/>
              </w:rPr>
              <w:t>2027-2038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572,342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4.00-4.35</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b/>
              </w:rPr>
            </w:pPr>
            <w:r>
              <w:rPr>
                <w:b/>
              </w:rPr>
              <w:t>2027-2028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14,107</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619,449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2,094,571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 LPR stands for the Loan Prime Rate.</w:t>
      </w:r>
    </w:p>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bank loans amounting to RMB588,840,000 (December 31, 2025: RMB600,173,000) were secured by the pledge of the Group’s buildings with a net carrying amount of approximately RMB657,520,000 (December 31, 2025: RMB676,985,000) and right-of-use assets with a net carrying amount of approximately RMB24,771,000 (December 31, 2025: RMB25,338,000) as at June 30, 2026. Such loans were also guaranteed by two of the Group’s subsidiaries.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unsecured bank loans amounting to RMB63,000,000 (December 31, 2025: RMB140,000,000) were guaranteed by the Group’s subsidiaries as at June 30, 2026.</w:t>
      </w:r>
    </w:p>
    <w:p>
      <w:pPr>
        <w:pStyle w:val="TextBody"/>
        <w:bidi w:val="0"/>
        <w:spacing w:before="0" w:after="0"/>
        <w:ind w:left="566"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maturity analysis of the Group’s interest-bearing bank and other borrowings:</w:t>
      </w:r>
    </w:p>
    <w:p>
      <w:pPr>
        <w:pStyle w:val="TextBody"/>
        <w:bidi w:val="0"/>
        <w:spacing w:before="0" w:after="0"/>
        <w:ind w:left="0" w:right="0" w:hanging="0"/>
        <w:jc w:val="both"/>
        <w:rPr>
          <w:caps w:val="false"/>
          <w:smallCaps w:val="false"/>
        </w:rPr>
      </w:pPr>
      <w:r>
        <w:rPr>
          <w:caps w:val="false"/>
          <w:smallCaps w:val="false"/>
        </w:rPr>
        <w:t> </w:t>
      </w:r>
    </w:p>
    <w:tbl>
      <w:tblPr>
        <w:tblW w:w="5924" w:type="dxa"/>
        <w:jc w:val="left"/>
        <w:tblInd w:w="0" w:type="dxa"/>
        <w:tblLayout w:type="fixed"/>
        <w:tblCellMar>
          <w:top w:w="0" w:type="dxa"/>
          <w:left w:w="0" w:type="dxa"/>
          <w:bottom w:w="0" w:type="dxa"/>
          <w:right w:w="0" w:type="dxa"/>
        </w:tblCellMar>
      </w:tblPr>
      <w:tblGrid>
        <w:gridCol w:w="3275"/>
        <w:gridCol w:w="60"/>
        <w:gridCol w:w="60"/>
        <w:gridCol w:w="980"/>
        <w:gridCol w:w="60"/>
        <w:gridCol w:w="60"/>
        <w:gridCol w:w="78"/>
        <w:gridCol w:w="1276"/>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December 31,</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i/>
              </w:rPr>
            </w:pPr>
            <w:r>
              <w:rPr>
                <w:b/>
                <w:i/>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i/>
              </w:rPr>
            </w:pPr>
            <w:r>
              <w:rPr>
                <w:i/>
              </w:rPr>
              <w:t>RMB’000</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pPr>
            <w:r>
              <w:rPr/>
              <w:t>Analysed into:</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Within one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1,475,122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1,222,481</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In the second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70,703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pPr>
            <w:r>
              <w:rPr/>
              <w:t>160,201</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In the third to fifth years, inclusive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140,100</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Beyond five years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456,937</w:t>
            </w:r>
          </w:p>
        </w:tc>
        <w:tc>
          <w:tcPr>
            <w:tcW w:w="7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2,094,571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6" w:type="dxa"/>
            <w:tcBorders>
              <w:bottom w:val="single" w:sz="12" w:space="0" w:color="000000"/>
            </w:tcBorders>
            <w:shd w:fill="FFFFFF" w:val="clear"/>
            <w:tcMar>
              <w:bottom w:w="28" w:type="dxa"/>
            </w:tcMar>
            <w:vAlign w:val="center"/>
          </w:tcPr>
          <w:p>
            <w:pPr>
              <w:pStyle w:val="TableContents"/>
              <w:bidi w:val="0"/>
              <w:spacing w:before="0" w:after="283"/>
              <w:jc w:val="right"/>
              <w:rPr/>
            </w:pPr>
            <w:r>
              <w:rPr/>
              <w:t>1,979,719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32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465" w:type="dxa"/>
            <w:tcBorders/>
            <w:vAlign w:val="center"/>
          </w:tcPr>
          <w:p>
            <w:pPr>
              <w:pStyle w:val="TableContents"/>
              <w:bidi w:val="0"/>
              <w:spacing w:before="0" w:after="283"/>
              <w:jc w:val="both"/>
              <w:rPr/>
            </w:pPr>
            <w:r>
              <w:rPr/>
              <w:t>Charges on Group Assets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had pledged the Group’s right-of-use assets with a carrying amount of approximately RMB24.8 million, the buildings with a carrying amount of approximately RMB657.5 million.</w:t>
      </w:r>
    </w:p>
    <w:p>
      <w:pPr>
        <w:pStyle w:val="TextBody"/>
        <w:bidi w:val="0"/>
        <w:spacing w:before="0" w:after="0"/>
        <w:ind w:left="360" w:right="0" w:hanging="0"/>
        <w:jc w:val="both"/>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32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2075" w:type="dxa"/>
            <w:tcBorders/>
            <w:vAlign w:val="center"/>
          </w:tcPr>
          <w:p>
            <w:pPr>
              <w:pStyle w:val="TableContents"/>
              <w:bidi w:val="0"/>
              <w:spacing w:before="0" w:after="283"/>
              <w:jc w:val="both"/>
              <w:rPr/>
            </w:pPr>
            <w:r>
              <w:rPr/>
              <w:t>Contingent Liabilities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did not have any material contingent liabilities.</w:t>
      </w:r>
    </w:p>
    <w:p>
      <w:pPr>
        <w:pStyle w:val="TextBody"/>
        <w:bidi w:val="0"/>
        <w:spacing w:before="0" w:after="0"/>
        <w:ind w:left="0" w:right="0" w:hanging="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32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3275" w:type="dxa"/>
            <w:tcBorders/>
            <w:vAlign w:val="center"/>
          </w:tcPr>
          <w:p>
            <w:pPr>
              <w:pStyle w:val="TableContents"/>
              <w:bidi w:val="0"/>
              <w:spacing w:before="0" w:after="283"/>
              <w:jc w:val="both"/>
              <w:rPr/>
            </w:pPr>
            <w:r>
              <w:rPr/>
              <w:t>Liquidity and Financial Resources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adopts a conservative approach for cash management and investment on uncommitted funds. We place cash and cash equivalents (which are mostly held in U.S. dollars, Hong Kong dollars and RMB) in short time deposits with authorized institutions in Hong Kong 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Group’s cash and bank balances were RMB1,895.6 million, which remained relatively constant when compared with RMB2,470.1 million as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Group’s cash and bank balances were held mainly in U.S. dollars, Hong Kong dollars and RMB.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Group had not used any financial instruments for hedging purposes.</w:t>
      </w:r>
    </w:p>
    <w:p>
      <w:pPr>
        <w:pStyle w:val="TextBody"/>
        <w:bidi w:val="0"/>
        <w:spacing w:before="0" w:after="0"/>
        <w:ind w:left="0"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32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3680" w:type="dxa"/>
            <w:tcBorders/>
            <w:vAlign w:val="center"/>
          </w:tcPr>
          <w:p>
            <w:pPr>
              <w:pStyle w:val="TableContents"/>
              <w:bidi w:val="0"/>
              <w:spacing w:before="0" w:after="283"/>
              <w:jc w:val="both"/>
              <w:rPr/>
            </w:pPr>
            <w:r>
              <w:rPr/>
              <w:t>Employees and Remuneration Policies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employees as at June 30, 2026 by function:</w:t>
      </w:r>
    </w:p>
    <w:p>
      <w:pPr>
        <w:pStyle w:val="TextBody"/>
        <w:bidi w:val="0"/>
        <w:spacing w:before="0" w:after="0"/>
        <w:ind w:left="0" w:right="0" w:hanging="0"/>
        <w:jc w:val="both"/>
        <w:rPr>
          <w:caps w:val="false"/>
          <w:smallCaps w:val="false"/>
        </w:rPr>
      </w:pPr>
      <w:r>
        <w:rPr>
          <w:caps w:val="false"/>
          <w:smallCaps w:val="false"/>
        </w:rPr>
        <w:t> </w:t>
      </w:r>
    </w:p>
    <w:tbl>
      <w:tblPr>
        <w:tblW w:w="4395" w:type="dxa"/>
        <w:jc w:val="left"/>
        <w:tblInd w:w="0" w:type="dxa"/>
        <w:tblLayout w:type="fixed"/>
        <w:tblCellMar>
          <w:top w:w="0" w:type="dxa"/>
          <w:left w:w="0" w:type="dxa"/>
          <w:bottom w:w="28" w:type="dxa"/>
          <w:right w:w="0" w:type="dxa"/>
        </w:tblCellMar>
      </w:tblPr>
      <w:tblGrid>
        <w:gridCol w:w="2645"/>
        <w:gridCol w:w="60"/>
        <w:gridCol w:w="119"/>
        <w:gridCol w:w="756"/>
        <w:gridCol w:w="60"/>
        <w:gridCol w:w="60"/>
        <w:gridCol w:w="60"/>
        <w:gridCol w:w="560"/>
        <w:gridCol w:w="75"/>
      </w:tblGrid>
      <w:tr>
        <w:trPr/>
        <w:tc>
          <w:tcPr>
            <w:tcW w:w="2645" w:type="dxa"/>
            <w:tcBorders>
              <w:bottom w:val="single" w:sz="12"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12" w:space="0" w:color="000000"/>
            </w:tcBorders>
            <w:vAlign w:val="center"/>
          </w:tcPr>
          <w:p>
            <w:pPr>
              <w:pStyle w:val="TableContents"/>
              <w:bidi w:val="0"/>
              <w:spacing w:before="0" w:after="283"/>
              <w:jc w:val="center"/>
              <w:rPr>
                <w:b/>
              </w:rPr>
            </w:pPr>
            <w:r>
              <w:rPr>
                <w:b/>
              </w:rPr>
              <w:t>Number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center"/>
              <w:rPr/>
            </w:pPr>
            <w:r>
              <w:rPr/>
              <w:t> </w:t>
            </w:r>
          </w:p>
        </w:tc>
      </w:tr>
      <w:tr>
        <w:trPr/>
        <w:tc>
          <w:tcPr>
            <w:tcW w:w="26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756" w:type="dxa"/>
            <w:tcBorders/>
            <w:shd w:fill="CCEEFF" w:val="clear"/>
            <w:tcMar>
              <w:bottom w:w="0" w:type="dxa"/>
            </w:tcMar>
            <w:vAlign w:val="center"/>
          </w:tcPr>
          <w:p>
            <w:pPr>
              <w:pStyle w:val="TableContents"/>
              <w:bidi w:val="0"/>
              <w:spacing w:before="0" w:after="283"/>
              <w:jc w:val="right"/>
              <w:rPr/>
            </w:pPr>
            <w:r>
              <w:rPr/>
              <w:t>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58.7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pPr>
            <w:r>
              <w:rPr/>
              <w:t>Commercial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267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pPr>
            <w:r>
              <w:rPr/>
              <w:t>Administrative and others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right"/>
              <w:rPr/>
            </w:pPr>
            <w:r>
              <w:rPr/>
              <w:t> </w:t>
            </w:r>
          </w:p>
        </w:tc>
        <w:tc>
          <w:tcPr>
            <w:tcW w:w="756" w:type="dxa"/>
            <w:tcBorders>
              <w:bottom w:val="single" w:sz="12" w:space="0" w:color="000000"/>
            </w:tcBorders>
            <w:shd w:fill="CCEEFF" w:val="clear"/>
            <w:vAlign w:val="center"/>
          </w:tcPr>
          <w:p>
            <w:pPr>
              <w:pStyle w:val="TableContents"/>
              <w:bidi w:val="0"/>
              <w:spacing w:before="0" w:after="283"/>
              <w:jc w:val="right"/>
              <w:rPr/>
            </w:pPr>
            <w:r>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righ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75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bottom w:val="single" w:sz="12" w:space="0" w:color="000000"/>
            </w:tcBorders>
            <w:shd w:fill="CCEEFF" w:val="clear"/>
            <w:vAlign w:val="center"/>
          </w:tcPr>
          <w:p>
            <w:pPr>
              <w:pStyle w:val="TableContents"/>
              <w:bidi w:val="0"/>
              <w:spacing w:before="0" w:after="283"/>
              <w:jc w:val="left"/>
              <w:rPr/>
            </w:pPr>
            <w:r>
              <w:rPr/>
              <w:t> </w:t>
            </w:r>
          </w:p>
        </w:tc>
        <w:tc>
          <w:tcPr>
            <w:tcW w:w="756" w:type="dxa"/>
            <w:tcBorders>
              <w:bottom w:val="single" w:sz="12" w:space="0" w:color="000000"/>
            </w:tcBorders>
            <w:shd w:fill="CCEEFF" w:val="clear"/>
            <w:vAlign w:val="center"/>
          </w:tcPr>
          <w:p>
            <w:pPr>
              <w:pStyle w:val="TableContents"/>
              <w:bidi w:val="0"/>
              <w:spacing w:before="0" w:after="283"/>
              <w:jc w:val="right"/>
              <w:rPr/>
            </w:pPr>
            <w:r>
              <w:rPr/>
              <w:t>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100.0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we had 828 full-time employees, including a total of 97 employees with M.D. or Ph.D. degrees. Of these, 486 are engaged in full-time research and development and laboratory operations and 342 are engaged in full-time general and administrative and commercial functions, and business development function. Our research and development personnel includes 93 employees with M.D. or Ph.D. degrees, and many of them have experience working in research institutions and hospitals and in the FDA drug approval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team has extensive experience and expertise in the biotechnology industry and has been contributive in driving the success of our business. As at June 30, 2026, we had 398 senior employees who have an average of 15 to 20 years of experience in relevant fields.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enjoyed more than 88% retention rate of employees over the last two years, which facilitates the growth of our institutional knowledge base. We are actively recruiting talents globally by offering a collaborative work environment, competitive compensation, effective incentive plans, and the opportunity to work on cutting-edge science projects.</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remuneration comprises salaries, bonuses, employee provident fund and social security contributions and other welfare payments. In accordance with applicable Chinese laws, we have made contributions to social security insurance funds (including pension plans, medical insurance, work-related injury insurance, unemployment insurance and maternity insurance) and housing funds for our PRC-based employees. For the six months ended June 30, 2025 and 2026, employee benefit expense amounted to RMB234.6 million and RMB298.6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adopted the Pre-IPO Share Option Scheme, the Post IPO Share Option Scheme, the 2018 RSU Scheme, the 2021 RSU Scheme and the 2022 RSU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18,584 RSUs (the “</w:t>
      </w:r>
      <w:r>
        <w:rPr>
          <w:rFonts w:ascii="Times New Roman;Times;Serif" w:hAnsi="Times New Roman;Times;Serif"/>
          <w:b/>
          <w:i w:val="false"/>
          <w:caps w:val="false"/>
          <w:smallCaps w:val="false"/>
          <w:sz w:val="20"/>
        </w:rPr>
        <w:t>2022 Awards</w:t>
      </w:r>
      <w:r>
        <w:rPr>
          <w:rFonts w:ascii="Times New Roman;Times;Serif" w:hAnsi="Times New Roman;Times;Serif"/>
          <w:b w:val="false"/>
          <w:i w:val="false"/>
          <w:caps w:val="false"/>
          <w:smallCaps w:val="false"/>
          <w:sz w:val="20"/>
        </w:rPr>
        <w:t>”), representing 18,584 Shares, have been granted to a senior manager of the Company (the “</w:t>
      </w:r>
      <w:r>
        <w:rPr>
          <w:rFonts w:ascii="Times New Roman;Times;Serif" w:hAnsi="Times New Roman;Times;Serif"/>
          <w:b/>
          <w:i w:val="false"/>
          <w:caps w:val="false"/>
          <w:smallCaps w:val="false"/>
          <w:sz w:val="20"/>
        </w:rPr>
        <w:t>2022 Grant</w:t>
      </w:r>
      <w:r>
        <w:rPr>
          <w:rFonts w:ascii="Times New Roman;Times;Serif" w:hAnsi="Times New Roman;Times;Serif"/>
          <w:b w:val="false"/>
          <w:i w:val="false"/>
          <w:caps w:val="false"/>
          <w:smallCaps w:val="false"/>
          <w:sz w:val="20"/>
        </w:rPr>
        <w:t>”). The 2022 Grant would not result in the options and awards granted and to be granted the grantee in the 12-month period up to and including the date of such grant in aggregate to exceed 1% of the Shares in issue (excluding treasury shares). As such, the 2022 Grant will not be subject to approval by the Shareholders in accordance with Rule 17.03D(1) of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Board proposed to grant (i) 393,770 RSUs and 298,194 Options to Dr. Yang; and (ii) 283,909 RSUs and 214,998 Options to Dr. Zhai under the 2022 RSU Scheme and the Post-IPO Share Option Scheme, respectively (the “</w:t>
      </w:r>
      <w:r>
        <w:rPr>
          <w:rFonts w:ascii="Times New Roman;Times;Serif" w:hAnsi="Times New Roman;Times;Serif"/>
          <w:b/>
          <w:i w:val="false"/>
          <w:caps w:val="false"/>
          <w:smallCaps w:val="false"/>
          <w:sz w:val="20"/>
        </w:rPr>
        <w:t>Proposed Grants to Dr. Yang and Dr. Zhai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Yang is an executive Director and the chief executive officer of the Company, and Dr. Zhai is the chief medical officer and a substantial shareholder of the Company. Pursuant to Rules 17.04(2) and 17.04(4) of the Listing Rules, as the Shares issued and to be issued in respect of all RSUs and Options conditionally granted (excluding any options and awards lapsed in accordance with the term of the share schemes adopted by the Company) to Dr. Yang and Dr. Zhai would, in the 12-month period up to and including the date of the Proposed Grants to Dr. Yang and Dr. Zhai representing in aggregate over 0.1% of the total issued share capital of the Company (excluding treasury shares). The Proposed Grants to Dr. Yang and Dr. Zhai is subject to the approval by the Shareholders, and Dr. Yang, Dr. Zhai, and their associates shall abstain from voting in favour of the relevant resolution(s) on the grant of RSU and Options to themselves at the 2025 AGM pursuant to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Proposed Grants to Dr. Yang and Dr. Zhai have been approved by the Shareholders at the 2025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Board granted (i) 440,743 RSUs to 453 selected persons under the 2021 RSU Scheme, who are employees of the Group; (ii) 3,223,685 RSUs to 251 selected persons under the 2022 RSU Scheme, among which (a) 31,858 RSUs are granted to two non-executive Directors, namely, Dr. Wang Shaomeng and Dr. Lu Simon Dazhong; (b) 106,194 RSUs are granted to six independent non-executive Directors, namely Mr. Ye Changqing, Mr. Ren Wei, Dr. David Sidransky, Ms. Marina S. Bozilenko, Dr. Debra Yu and Dr. Marc E. Lippman, MD; (c) 150,739 RSUs are granted a senior manager of the Company; (d) 2,924,894 RSUs are granted to 241 other 2022 Selected Persons who are employees of the Group; and (e) 10,000 RSUs are granted to a Service Provider (being a consultant who is an expert in research and development, clinical trials and academia who provides consultancy services and/or other professional services to any member of the Group in connection with drug development and clinical trials in the ordinary and usual course of business of the Group which is in the interests of the long term growth of the Group); and (iii) 690,045 Options to 30 grantees under the Post IPO Share Option Scheme, among which (a) 31,858 Options are granted to two non-executive Directors, namely, Dr. Wang Shaomeng and Dr. Lu Simon Dazhong; (b) 106,194 Options are granted to six independent non-executive Directors, namely Mr. Ye Changqing, Mr. Ren Wei, Dr. David Sidransky, Ms. Marina S. Bozilenko, Dr. Debra Yu and Dr. Marc E. Lippman, MD; and (c) 50,641 Options are granted to a senior manager of the Company; and (d) 501,352 Options are granted to 21 Option Grantees who are employees of the Group.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selected persons under the 2021 RSU Scheme is a Director, chief executive or substantial shareholder of the Company or an associate of any of them. The further grant of RSUs thereunder would not result in the options and awards granted and to be granted to each individual grantee in the 12-month period up to and including the date of such grant in aggregate to exceed 1% of the Shares in issue (excluding treasury shares). As such, the further grant of RSUs thereunder was not subject to approval by the Shareholders in accordance with Rule 17.03D(1) of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17.04(1) of the Listing Rules, the further grant of 2022 Awards to Dr. Wang Shaomeng and Dr. Lu Simon Dazhong had been approved by the independent non-executive Directors, while the further grant of 2022 Awards to each of Mr. Ye Changqing, Mr. Ren Wei, Dr. David Sidransky, Ms. Marina S. Bozilenko, Dr. Debra Yu and Dr. Marc E. Lippman, MD had been approved by the independent non-executive Directors (excluding the respective independent non-executive Director who is the proposed 2022 Selected Person). Save as disclosed above, none of the selected persons under the 2022 RSU Scheme is a Director, chief executive or substantial shareholder of the Company or an associate of any of them. The further grant of RSUs thereunder would not result in the options and awards granted and to be granted to each individual grantee in the 12-month period up to and including the date of such grant in aggregate to exceed 0.1% (for selected persons under the 2022 RSU Scheme who are directors of the Company) or 1% (for the other selected persons under the 2022 RSU Scheme) of the Shares in issue (excluding treasury Shares). As such, the grant of 2022 Awards to the selected persons under the 2022 Further Grant was not subject to approval by the Shareholders in accordance with Rules 17.03D(1) or 17.04(4) of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17.04(1) of the Listing Rules, the further grant of Options to Dr. Wang Shaomeng and Dr. Lu Simon Dazhong had been approved by the independent non-executive Directors, while the further grant of Options to each of Mr. Ye Changqing, Mr. Ren Wei, Dr. David Sidransky, Ms. Marina S. Bozilenko, Dr. Debra Yu and Dr. Marc E. Lippman, MD had been approved by the independent non-executive Directors (excluding the respective independent non-executive Director who is the proposed Option grantees). Save as disclosed above, none of the Option grantees is a Director, chief executive or substantial shareholder of the Company or an associate of any of them. The grant of Options to each of the Option grantees thereunder would not result in the Shares issued and to be issued in respect of all options and awards granted to each of the Option grantees (excluding any options and awards lapsed in accordance with the terms of the applicable scheme) in the 12-month period up to and including the date of such grant representing in aggregate over 0.1% (for Option grantees who are directors of the Company) or 1% (for the other Option grantees) of the issued Shares (excluding treasury shares). As such, the grant of Options to each of the Option grantees under the Post IPO Share Option Scheme will not be subject to approval by the Shareholders pursuant to Rules 17.03D(1) or 17.04(4) of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rFonts w:ascii="Times New Roman;Times;Serif" w:hAnsi="Times New Roman;Times;Serif"/>
          <w:b w:val="false"/>
          <w:i w:val="false"/>
          <w:caps w:val="false"/>
          <w:smallCaps w:val="false"/>
          <w:sz w:val="20"/>
        </w:rPr>
        <w:t xml:space="preserve">For further details of the Pre-IPO Share Option Scheme and the Post-IPO Share Option Scheme, please refer to the section headed “Statutory and General Information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D. Employee Incentive Schemes” in Appendix IV to the Prospectus, as well as the circular of the Company dated April 30, 2026. For further details of the 2018 RSU Scheme and the grant of RSUs thereunder, please refer to the prospectus of the Company dated October 16, 2019 and the relevant announcements of the Company dated February 2, 2021, May 29, 2023 and October 24, 2024. For further details of the 2021 RSU Scheme and the grant of RSUs thereunder, please refer to the relevant announcements of the Company dated February 2, 2021, May 21, 2021, June 18, 2021, June 25, 2021, July 14, 2021, July 23, 2021, May 29, 2023, June 27, 2025, November 27, 2025, December 30, 2025, June 29, 2026 and July 13, 2026 as well as the circulars of the Company dated August 31, 2021 and April 30, 2025 and the announcements of the Company dated September 20, 2021 and May 19, 2025. For further details of the 2022 RSU Scheme and the grant of RSUs thereunder, please refer to the relevant announcements of the Company dated June 23, 2022, July 14, 2022, May 8, 2023, May 29, 2023, October 24, 2024, June 27, 2025, November 27, 2025, December 30, 2025, April 20, 2026, June 29, 2026 and July 13, 2026, as well as the circulars of the Company dated April 30, 2026 and the poll results announcements of the Company dated May 20,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AND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Our mission is to become a leading global, fully integrated biopharmaceutical company engaged in discovering, developing, and commercializing both first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and best-in-class therapies to address global unmet medical needs in cancer. To fulfill this mission, we plan to focus on the following strategic activities: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Complete ongoing registrational trials to pursue FDA and other international approval of Olverembatinib and advance commercialization in China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Olverembatinib is already approved in China for three CML indications, all of which have been reimbursable under China’s NRDL since the beginning of 2025. Based on previous clinical results and real-world patient data in China, where it is approved, we believe Olverembatinib has global potential.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A core aspect of our strategy is selecting indications and geographies and designing our clinical development plans to enable us to gain significant market share of the global CML market, which was approximately U.S.$12.3 billion in 2023 and is expected to grow to U.S.$14.6 billion by 2035, according to the F&amp;S Report. Following olverembatinib’s success in CML, we plan to advance and complete registrational Phase 3 trials, POLARIS-1 and POLARIS-3, for the frontline treatment of Ph+ ALL and SDH-deficient GIST,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In 2026, the Company will continue to drive commercial growth under the “dual-engine” strategy. With the continuous implementation of NRDL coverage and further deepening of end-market penetration, we intend to further expand hospital coverage and drive rapid hospital access in China.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Complete ongoing registrational trials to pursue FDA and other international approval of Lisaftoclax and advance commercialization in China and begin the development of commercial operations for lisaftoclax in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In July 2025, Lisaftoclax was approved by China’s NMPA for the treatment of adult patients with CLL/SLL who have previously received at least one systemic therapy, including BTK inhibitors, making Lisaftoclax the first Bcl-2 inhibitor receiving conditional approval and marketing authorization for the treatment of patients with CLL/SLL in China, and the second Bcl-2 inhibitor approved globally.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We are currently conducting an FDA and EMA-cleared, global Phase III registrational trial, called GLORA-4, of Lisaftoclax in combination with AZA for the first-line treatment of patients with HR-MDS. We are also currently conducting an FDA and EMA-cleared, global Phase III registrational trial, called GLORA, of Lisaftoclax in combination with BTK inhibitors in patients with CLL/SLL previously suboptimally treated with BTK inhibitors. In addition, we are conducting multinational Phase III registrational trials for first-line treatment of elderly or unfit patients with AML as well as CLL/SLL.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A core part of our strategy is selecting indications and geographies and designing our clinical development plans to enable us to gain significant market share in the global CLL/SLL market, which was around U.S.$9.4 billion in 2023 and is expected to grow to U.S.$38.2 billion by 2035, according to the F&amp;S Report. Following Lisaftoclax’s success in CLL/SLL, we plan to advance and complete registrational Phase 3 trials, GLORA-3 and GLORA-4, for the treatment of elderly or unfit patients with newly diagnosed AML and newly diagnosed HR-MDS,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We have employed a Chief Commercial Officer who will begin building commercial operations in the United States in anticipation of the approval of Lisaftoclax in the United States.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b/>
              </w:rPr>
            </w:pPr>
            <w:r>
              <w:rPr>
                <w:b/>
              </w:rPr>
              <w:t>Progress other clinical-stage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We plan to continue our efforts in developing our other clinical-stage pipeline candidates as monotherapies and combination therapies in other hematologic malignancies and solid tumors, including APG-3288, APG-5918, APG-2449, Alrizomadlin, and Pelcitoclax. Our fully integrated capabilities can facilitate advancing clinical progress of our pipeline candidates.</w:t>
            </w:r>
          </w:p>
        </w:tc>
      </w:tr>
    </w:tbl>
    <w:p>
      <w:pPr>
        <w:pStyle w:val="TextBody"/>
        <w:bidi w:val="0"/>
        <w:spacing w:before="0" w:after="0"/>
        <w:ind w:left="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b/>
              </w:rPr>
            </w:pPr>
            <w:r>
              <w:rPr>
                <w:b/>
              </w:rPr>
              <w:t>Continue building our operations strategically for global markets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We are a commercial-stage biopharmaceutical company with a global footprint. We have integrated capabilities from discovery and clinical development to manufacturing and commercialization. We have established operations in China, the United States, Australia, and Europe to conduct and/or support discovery, preclinical studies, and clinical trials. We adopt a global clinical development strategy and leverage our CMC and manufacturing to comply with requirements applicable to clinical trials in accordance with the requirements of the FDA, the NMPA, the EMA, and other comparable regulatory authorities. We have established a fully functional commercialization team with a feasible infrastructure. Driven by dual-engine commercialization strategy, we anticipate sustained high-growth momentum in 2026. To this end, we will continue to scale up our commercial team to not only promote immediate business growth but, more importantly, to lay the groundwork for market leadership. We plan to continue building our team strategically to support our future development.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rPr>
            </w:pPr>
            <w:r>
              <w:rPr>
                <w:b/>
              </w:rPr>
              <w:t>Opportunistically pursue strategic partnerships and collaborations to maximize the potential of our portfolio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Leveraging our strong presence in apoptosis-targeting therapies, deep relationships with global key opinion leaders, and extensive collaboration with leading biotechnology and pharmaceutical companies and research institutions, we are well positioned to evolve as the partner of choice to provide complementary value to entities seeking to build and expand portfolio advantages. We will strategically evaluate potential collaborations with global partners to maximize the value of our portfolio and provide sustainable support to our pipeline development. These initiatives are intended to not only optimize our pipeline but also provide sustainable revenue streams to fund our portfolio development.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283"/>
              <w:jc w:val="both"/>
              <w:rPr/>
            </w:pPr>
            <w:r>
              <w:rPr/>
              <w:t>We employed a Chief Business Officer who will leverage our strong presence in apoptosis targeting therapies, deep relationships with global key opinion leaders and extensive collaboration with leading bio-technology and pharmaceutical companies and research institutions, to position ourself as the partner of choice to provide complementary value to those with the ambition in building and expanding portfolio advantages. We will strategically evaluate potential collaborations with global partners to maximize the value of our portfolio and provide sustainable support to our pipeline development. These initiatives would not only optimize our pipeline but also provide sustainable revenue streams to fund our portfolio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f_006"/>
      <w:bookmarkEnd w:id="9"/>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CHIEF EXECUTIVES’ INTERESTS AND SHORT POSITIONS IN SHARES AND UNDERLYING SHARES AND DEBENTURES OF THE COMPANY OR ANY OF ITS ASSOCIATED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interests and short positions of the Directors or chief executives of our Company in any of the Shares, underlying Shares and debentures of our Company or its associated corporation (within the meaning of Part XV of the SFO), as notified to the Company and the Stock Exchange pursuant to Divisions 7 and 8 of Part XV of the SFO (including interest or short positions which they were taken or deemed to have under such provisions of the SFO), as recorded in the register required to be kept by the Company pursuant to Section 352 of the SFO, or as otherwise notified to the Company and the Stock Exchange pursuant to the Model Code were as follows:</w:t>
      </w:r>
    </w:p>
    <w:p>
      <w:pPr>
        <w:pStyle w:val="TextBody"/>
        <w:bidi w:val="0"/>
        <w:spacing w:before="0" w:after="0"/>
        <w:ind w:left="0" w:right="0" w:hanging="0"/>
        <w:jc w:val="both"/>
        <w:rPr>
          <w:caps w:val="false"/>
          <w:smallCaps w:val="false"/>
        </w:rPr>
      </w:pPr>
      <w:r>
        <w:rPr>
          <w:caps w:val="false"/>
          <w:smallCaps w:val="false"/>
        </w:rPr>
        <w:t> </w:t>
      </w:r>
    </w:p>
    <w:tbl>
      <w:tblPr>
        <w:tblW w:w="9774" w:type="dxa"/>
        <w:jc w:val="left"/>
        <w:tblInd w:w="0" w:type="dxa"/>
        <w:tblLayout w:type="fixed"/>
        <w:tblCellMar>
          <w:top w:w="0" w:type="dxa"/>
          <w:left w:w="0" w:type="dxa"/>
          <w:bottom w:w="28" w:type="dxa"/>
          <w:right w:w="0" w:type="dxa"/>
        </w:tblCellMar>
      </w:tblPr>
      <w:tblGrid>
        <w:gridCol w:w="3035"/>
        <w:gridCol w:w="60"/>
        <w:gridCol w:w="3950"/>
        <w:gridCol w:w="60"/>
        <w:gridCol w:w="60"/>
        <w:gridCol w:w="1100"/>
        <w:gridCol w:w="60"/>
        <w:gridCol w:w="60"/>
        <w:gridCol w:w="111"/>
        <w:gridCol w:w="1048"/>
        <w:gridCol w:w="230"/>
      </w:tblGrid>
      <w:tr>
        <w:trPr/>
        <w:tc>
          <w:tcPr>
            <w:tcW w:w="3035" w:type="dxa"/>
            <w:tcBorders>
              <w:bottom w:val="single" w:sz="12" w:space="0" w:color="000000"/>
            </w:tcBorders>
            <w:vAlign w:val="center"/>
          </w:tcPr>
          <w:p>
            <w:pPr>
              <w:pStyle w:val="TableContents"/>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Director or chief executive</w:t>
            </w:r>
          </w:p>
        </w:tc>
        <w:tc>
          <w:tcPr>
            <w:tcW w:w="60" w:type="dxa"/>
            <w:tcBorders/>
            <w:tcMar>
              <w:bottom w:w="0" w:type="dxa"/>
            </w:tcMar>
            <w:vAlign w:val="center"/>
          </w:tcPr>
          <w:p>
            <w:pPr>
              <w:pStyle w:val="TableContents"/>
              <w:bidi w:val="0"/>
              <w:spacing w:before="0" w:after="283"/>
              <w:jc w:val="center"/>
              <w:rPr/>
            </w:pPr>
            <w:r>
              <w:rPr/>
              <w:t> </w:t>
            </w:r>
          </w:p>
        </w:tc>
        <w:tc>
          <w:tcPr>
            <w:tcW w:w="3950" w:type="dxa"/>
            <w:tcBorders>
              <w:bottom w:val="single" w:sz="12" w:space="0" w:color="000000"/>
            </w:tcBorders>
            <w:vAlign w:val="center"/>
          </w:tcPr>
          <w:p>
            <w:pPr>
              <w:pStyle w:val="TableContents"/>
              <w:bidi w:val="0"/>
              <w:spacing w:before="0" w:after="283"/>
              <w:jc w:val="center"/>
              <w:rPr>
                <w:b/>
              </w:rPr>
            </w:pPr>
            <w:r>
              <w:rPr>
                <w:b/>
              </w:rPr>
              <w:t>Nature of Interest</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5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230" w:type="dxa"/>
            <w:tcBorders/>
            <w:tcMar>
              <w:bottom w:w="0" w:type="dxa"/>
            </w:tcMar>
            <w:vAlign w:val="center"/>
          </w:tcPr>
          <w:p>
            <w:pPr>
              <w:pStyle w:val="TableContents"/>
              <w:bidi w:val="0"/>
              <w:spacing w:before="0" w:after="283"/>
              <w:jc w:val="center"/>
              <w:rPr/>
            </w:pPr>
            <w:r>
              <w:rPr/>
              <w:t> </w:t>
            </w:r>
          </w:p>
        </w:tc>
      </w:tr>
      <w:tr>
        <w:trPr/>
        <w:tc>
          <w:tcPr>
            <w:tcW w:w="30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right"/>
              <w:rPr/>
            </w:pPr>
            <w:r>
              <w:rPr/>
              <w:t> </w:t>
            </w:r>
          </w:p>
        </w:tc>
        <w:tc>
          <w:tcPr>
            <w:tcW w:w="230" w:type="dxa"/>
            <w:tcBorders/>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Yang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of controlled corporation</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16.74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Interests held jointly with other persons</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of spouse</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Settlor of a discretionary trust</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Wang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of controlled corporation</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16.74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Interests held jointly with other persons</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Settlor of a discretionary trust</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Zhai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of controlled corporation</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16.74</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held jointly with other persons</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Interest of spouse</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Settlor of a discretionary trust</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Lu Dazhong Simon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119,245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Mr. Ye Changqing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92,062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Mr. Ren Wei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92,062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David Sidransky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97,279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Ms. Marina S. Bozilenko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Marc E. Lippman,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81,328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0.02</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30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048"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3035" w:type="dxa"/>
            <w:tcBorders/>
            <w:shd w:fill="CCEEFF" w:val="clear"/>
            <w:tcMar>
              <w:bottom w:w="0" w:type="dxa"/>
            </w:tcMar>
            <w:vAlign w:val="center"/>
          </w:tcPr>
          <w:p>
            <w:pPr>
              <w:pStyle w:val="TableContents"/>
              <w:bidi w:val="0"/>
              <w:spacing w:before="0" w:after="283"/>
              <w:jc w:val="left"/>
              <w:rPr/>
            </w:pPr>
            <w:r>
              <w:rPr/>
              <w:t>Dr. Debra Yu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0" w:type="dxa"/>
            <w:tcBorders/>
            <w:shd w:fill="CCEEFF" w:val="clear"/>
            <w:tcMar>
              <w:bottom w:w="0" w:type="dxa"/>
            </w:tcMar>
            <w:vAlign w:val="center"/>
          </w:tcPr>
          <w:p>
            <w:pPr>
              <w:pStyle w:val="TableContents"/>
              <w:bidi w:val="0"/>
              <w:spacing w:before="0" w:after="283"/>
              <w:jc w:val="left"/>
              <w:rPr/>
            </w:pPr>
            <w:r>
              <w:rPr/>
              <w:t>Beneficial owner</w:t>
            </w:r>
            <w:r>
              <w:rPr>
                <w:position w:val="8"/>
                <w:sz w:val="19"/>
              </w:rPr>
              <w:t>(14)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048" w:type="dxa"/>
            <w:tcBorders/>
            <w:shd w:fill="CCEEFF" w:val="clear"/>
            <w:tcMar>
              <w:bottom w:w="0" w:type="dxa"/>
            </w:tcMar>
            <w:vAlign w:val="center"/>
          </w:tcPr>
          <w:p>
            <w:pPr>
              <w:pStyle w:val="TableContents"/>
              <w:bidi w:val="0"/>
              <w:spacing w:before="0" w:after="283"/>
              <w:jc w:val="right"/>
              <w:rPr/>
            </w:pPr>
            <w:r>
              <w:rPr/>
              <w:t>0.02</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455" w:type="dxa"/>
            <w:tcBorders/>
            <w:vAlign w:val="center"/>
          </w:tcPr>
          <w:p>
            <w:pPr>
              <w:pStyle w:val="TableContents"/>
              <w:bidi w:val="0"/>
              <w:spacing w:before="0" w:after="283"/>
              <w:jc w:val="both"/>
              <w:rPr/>
            </w:pPr>
            <w:r>
              <w:rPr/>
              <w:t>All interests stated are long position.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Dr. Yang, Dr. Guo, Dr. Wang, Dr. Zhai and Dr. Zhai SPV are parties to the Concert Party Confirmation Deed, according to which they have been actively cooperating, communicating and acting in concert with each other with respect to their interests in or the business of the relevant members of our Group since December 5, 2016 and will continue to act in concert after Listing. Accordingly, each of Dr. Yang, Dr. Guo, Dr. Wang, Dr. Zhai and Dr. Zhai SPV is deemed to be interested in an aggregate of 16.74% shareholding interest in our Company.</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3.</w:t>
            </w:r>
          </w:p>
        </w:tc>
        <w:tc>
          <w:tcPr>
            <w:tcW w:w="9977" w:type="dxa"/>
            <w:tcBorders/>
            <w:vAlign w:val="center"/>
          </w:tcPr>
          <w:p>
            <w:pPr>
              <w:pStyle w:val="TableContents"/>
              <w:bidi w:val="0"/>
              <w:spacing w:before="0" w:after="283"/>
              <w:jc w:val="both"/>
              <w:rPr/>
            </w:pPr>
            <w:r>
              <w:rPr/>
              <w:t>Dr. Yang and Dr. Zhai are spouse and are therefore deemed to be interested in the Shares held by each other under the SFO.</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both"/>
              <w:rPr/>
            </w:pPr>
            <w:r>
              <w:rPr/>
              <w:t>The Yang Family Trust, the Wang Family Trust and the Guo Family Trust were respectively established by Dr. Yang, Dr. Wang and Dr. Guo as settlor for the benefits of their respective family members. South Dakota Trust is the trustee of each of the Founders Family Trusts.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8" w:type="dxa"/>
            <w:tcBorders/>
            <w:vAlign w:val="center"/>
          </w:tcPr>
          <w:p>
            <w:pPr>
              <w:pStyle w:val="TableContents"/>
              <w:bidi w:val="0"/>
              <w:spacing w:before="0" w:after="283"/>
              <w:jc w:val="both"/>
              <w:rPr/>
            </w:pPr>
            <w:r>
              <w:rPr/>
              <w:t>Dr. Zhai SPV is beneficially owned by (i) Dr. Zhai (3%) and (ii) the Zhai Family Trust (97%). The Zhai Family Trust was established by Dr. Zhai as settlor for the benefit of her family members. South Dakota Trust is the trustee of the Zhai Family Trust. Dr. Zhai is also a director of Dr. Zhai SPV.</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0" w:type="dxa"/>
            <w:tcBorders/>
            <w:vAlign w:val="center"/>
          </w:tcPr>
          <w:p>
            <w:pPr>
              <w:pStyle w:val="TableContents"/>
              <w:bidi w:val="0"/>
              <w:spacing w:before="0" w:after="283"/>
              <w:jc w:val="both"/>
              <w:rPr/>
            </w:pPr>
            <w:r>
              <w:rPr/>
              <w:t>Interests in share options and RSUs granted pursuant to the Pre-IPO Share Option Scheme, Post-IPO Share Option Scheme and the 2022 RSU Scheme. Dr. Lu is interested in 41,457 share option under the Pre-IPO Share Option Scheme. On November 26, 2025, Dr. Lu was granted 17,965 options under the Post-IPO Share Option Scheme, and RSUs under the 2022 RSU Scheme entitling him to 27,965 shares. On June 29, 2026, Dr. Lu was granted 15,929 options under the Post-IPO Share Option Scheme, and RSUs under the 2022 RSU Scheme entitling him to 15,929 shares. As at June 30, 2026, 21,926 options under Post-IPO Share Option Scheme remain unvested and all the RSUs granted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7.</w:t>
            </w:r>
          </w:p>
        </w:tc>
        <w:tc>
          <w:tcPr>
            <w:tcW w:w="10021" w:type="dxa"/>
            <w:tcBorders/>
            <w:vAlign w:val="center"/>
          </w:tcPr>
          <w:p>
            <w:pPr>
              <w:pStyle w:val="TableContents"/>
              <w:bidi w:val="0"/>
              <w:spacing w:before="0" w:after="283"/>
              <w:jc w:val="both"/>
              <w:rPr/>
            </w:pPr>
            <w:r>
              <w:rPr/>
              <w:t>Interests in share options and RSUs granted pursuant to the 2021 RSU Scheme, Post-IPO Share Option Scheme and the 2022 RSU Scheme. Mr. Ye Changqing is interested in 8,964 RSUs under the 2021 RSU Scheme. As at June 30, 2026, all the RSUs under the 2021 RSU Scheme have been vested. On November 26, 2025, Mr. Ye Changqing was granted 18,850 Options under the Post-IPO Share Option Scheme, and RSUs under the 2022 RSU Scheme entitling him to receive 28,850 shares. On June 29, 2026, Mr. Ye was granted 17,699 options under the Post-IPO Share Option Scheme, and RSUs under the 2022 RSU Scheme entitling him to 17,699 shares. As at June 30, 2026, 23,989 options under Post-IPO Share Option Scheme remain unvested and all the RSUs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8.</w:t>
            </w:r>
          </w:p>
        </w:tc>
        <w:tc>
          <w:tcPr>
            <w:tcW w:w="10021" w:type="dxa"/>
            <w:tcBorders/>
            <w:vAlign w:val="center"/>
          </w:tcPr>
          <w:p>
            <w:pPr>
              <w:pStyle w:val="TableContents"/>
              <w:bidi w:val="0"/>
              <w:spacing w:before="0" w:after="283"/>
              <w:jc w:val="both"/>
              <w:rPr/>
            </w:pPr>
            <w:r>
              <w:rPr/>
              <w:t>Interests in share options and RSUs granted pursuant to the 2021 RSU Scheme, Post-IPO Share Option Scheme and the 2022 RSU Scheme. Mr. Ren Wei is interested in RSUs granted to him under the 2021 RSU Scheme entitling him to receive 8,964 shares. As at June 30, 2026, all the RSUs under the 2021 RSU Scheme have been vested. On November 26, 2025, Mr. Ren Wei was granted 28,850 Options under the Post-IPO Share Option Scheme, and RSUs under the 2022 RSU Scheme entitling him to receive 18,850 shares. On June 29, 2026, Mr. Ren was granted 17,699 options under the Post-IPO Share Option Scheme, and RSUs under the 2022 RSU Scheme entitling him to 17,699 shares. As at June 30, 2026, 23,989 options under Post-IPO Share Option Scheme remain unvested and all the RSUs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t>Interests in share options and RSUs granted pursuant to the 2021 RSU Scheme, Post-IPO Share Option Scheme and the 2022 RSU Scheme. Dr. Sidransky is interested in RSUs granted to him under the 2021 RSU Scheme entitling him to receive 10,641 shares. As at June 30, 2026, all RSUs under the 2021 RSU Scheme remain unvested. On November 26, 2025, Dr. Sidransky was granted 28,850 options under the Post-IPO Share Option Scheme, and RSUs under the 2022 RSU Scheme entitling him to 18,850 shares. On June 29, 2026, Dr. Sidransky was granted 19,469 options under the Post-IPO Share Option Scheme, and RSUs under the 2022 RSU Scheme entitling him to 19,469 shares. As at June 30, 2026, 25,759 options under Post-IPO Share Option Scheme remain unvested and all the RSUs granted under the 2022 RSU Scheme remain unvested.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10.</w:t>
            </w:r>
          </w:p>
        </w:tc>
        <w:tc>
          <w:tcPr>
            <w:tcW w:w="9903" w:type="dxa"/>
            <w:tcBorders/>
            <w:vAlign w:val="center"/>
          </w:tcPr>
          <w:p>
            <w:pPr>
              <w:pStyle w:val="TableContents"/>
              <w:bidi w:val="0"/>
              <w:spacing w:before="0" w:after="283"/>
              <w:jc w:val="both"/>
              <w:rPr/>
            </w:pPr>
            <w:r>
              <w:rPr/>
              <w:t>On June 27, 2025, Dr. Zhai was granted 176,278 RSUs under the 2022 RSU Scheme, all these RSU were vested on the same date, as at June 30, 2026, 176,278 RSUs remain outstanding. Dr. Zhai is interested in RSUs granted to her under the 2022 RSU Scheme entitling her to receive 100,000 shares (which were granted on June 23, 2022), as at June 30, 2026, 40,000 RSUs remain outstanding. On May 19, 2023, Dr. Zhai was granted 126,000 RSUs under the 2018 RSU Scheme, as at June 30, 2026, all RSUs granted under the 2018 RSU Scheme has been vested. On November 26, 2025, Dr. Zhai was granted 103,364 options under the Post-IPO Share Option Scheme, and RSUs under the 2022 RSU Scheme entitling her to 127,201 shares. On April 20, 2026, Dr. Zhai was granted 214,998 options under the Post-IPO Share Option Scheme, and RSUs under the 2022 RSU Scheme entitling her to 283,909 shares. Both of the proposed grants on November 26, 2025 and April 20, 2026 to Dr. Zhai were approved by shareholders at 2025 AGM held on May 20, 2026. 318,362 options under Post-IPO Share Option Scheme remain unvested and 318,364 RSUs granted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11.</w:t>
            </w:r>
          </w:p>
        </w:tc>
        <w:tc>
          <w:tcPr>
            <w:tcW w:w="9901" w:type="dxa"/>
            <w:tcBorders/>
            <w:vAlign w:val="center"/>
          </w:tcPr>
          <w:p>
            <w:pPr>
              <w:pStyle w:val="TableContents"/>
              <w:bidi w:val="0"/>
              <w:spacing w:before="0" w:after="283"/>
              <w:jc w:val="both"/>
              <w:rPr/>
            </w:pPr>
            <w:r>
              <w:rPr/>
              <w:t>On May 19, 2023, Dr. Yang was granted 46,972 RSUs under the 2018 RSU Scheme. As at June 30, 2026, all RSUs granted under the 2018 RSU Scheme have been vested. On November 26, 2025, Dr. Yang was granted 143,363 options under the Post-IPO Share Option Scheme, and RSUs under the 2022 RSU Scheme entitling him to 143,363 shares. On April 20, 2026, Dr. Yang was granted 298,194 options under the Post-IPO Share Option Scheme, and RSUs under the 2022 RSU Scheme entitling him to 393,770 shares. The above proposed grants on April 20, 2026 were approved by shareholders at 2025 AGM held on May 20, 2026. As at June 30, 2026, 441,557 options under Post-IPO Share Option Scheme remain unvested and 298,195 RSUs granted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12.</w:t>
            </w:r>
          </w:p>
        </w:tc>
        <w:tc>
          <w:tcPr>
            <w:tcW w:w="9897" w:type="dxa"/>
            <w:tcBorders/>
            <w:vAlign w:val="center"/>
          </w:tcPr>
          <w:p>
            <w:pPr>
              <w:pStyle w:val="TableContents"/>
              <w:bidi w:val="0"/>
              <w:spacing w:before="0" w:after="283"/>
              <w:jc w:val="both"/>
              <w:rPr/>
            </w:pPr>
            <w:r>
              <w:rPr/>
              <w:t>On November 26, 2025, Ms. Marina S. Bozilenko was granted 17,965 options under the Post-IPO Share Option Scheme, and RSUs under the 2022 RSU Scheme entitling her to 27,965 shares. On June 29, 2026, Ms. Bozilenko was granted 16,814 options under the Post-IPO Share Option Scheme, and RSUs under the 2022 RSU Scheme entitling her to 16,814 shares. As at June 30, 2026, 22,811 options under Post-IPO Share Option Scheme remain unvested and all the RSUs granted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13.</w:t>
            </w:r>
          </w:p>
        </w:tc>
        <w:tc>
          <w:tcPr>
            <w:tcW w:w="9897" w:type="dxa"/>
            <w:tcBorders/>
            <w:vAlign w:val="center"/>
          </w:tcPr>
          <w:p>
            <w:pPr>
              <w:pStyle w:val="TableContents"/>
              <w:bidi w:val="0"/>
              <w:spacing w:before="0" w:after="283"/>
              <w:jc w:val="both"/>
              <w:rPr/>
            </w:pPr>
            <w:r>
              <w:rPr/>
              <w:t>On November 26, 2025, Dr. Marc E. Lippman, MD was granted 17,965 options under the Post-IPO Share Option Scheme, and RSUs under the 2022 RSU Scheme entitling him to 27,965 shares. On June 29, 2026, Dr. Lippman was granted 17,699 options under the Post-IPO Share Option Scheme, and RSUs under the 2022 RSU Scheme entitling him to 17,699 shares. As at June 30, 2026, 23,696 options under Post-IPO Share Option Scheme remain unvested and all the RSUs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14.</w:t>
            </w:r>
          </w:p>
        </w:tc>
        <w:tc>
          <w:tcPr>
            <w:tcW w:w="9896" w:type="dxa"/>
            <w:tcBorders/>
            <w:vAlign w:val="center"/>
          </w:tcPr>
          <w:p>
            <w:pPr>
              <w:pStyle w:val="TableContents"/>
              <w:bidi w:val="0"/>
              <w:spacing w:before="0" w:after="283"/>
              <w:jc w:val="both"/>
              <w:rPr/>
            </w:pPr>
            <w:r>
              <w:rPr/>
              <w:t>On November 26, 2025, Dr. Debra Yu was granted 17,965 Options under the Post-IPO Share Option Scheme, and RSUs under the 2022 RSU Scheme entitling her to 27,965 shares. On June 29, 2026, Dr. Yu was granted 16,814 options under the Post-IPO Share Option Scheme, and RSUs under the 2022 RSU Scheme entitling her to 16,814 shares. As at June 30, 2026, 22,811 options under Post-IPO Share Option Scheme remain unvested and all the RSUs under the 2022 RSU Scheme remain unvested.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7"/>
        <w:gridCol w:w="9850"/>
      </w:tblGrid>
      <w:tr>
        <w:trPr/>
        <w:tc>
          <w:tcPr>
            <w:tcW w:w="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15.</w:t>
            </w:r>
          </w:p>
        </w:tc>
        <w:tc>
          <w:tcPr>
            <w:tcW w:w="9850" w:type="dxa"/>
            <w:tcBorders/>
            <w:vAlign w:val="center"/>
          </w:tcPr>
          <w:p>
            <w:pPr>
              <w:pStyle w:val="TableContents"/>
              <w:bidi w:val="0"/>
              <w:spacing w:before="0" w:after="283"/>
              <w:jc w:val="both"/>
              <w:rPr/>
            </w:pPr>
            <w:r>
              <w:rPr/>
              <w:t>All interests are calculated based on the total Shares in issue as at June 30, 2026, being 373,555,768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as at June 30, 2026, none of the Directors or chief executives of the Company had or was deemed to have any interests or short positions in the Shares, underlying Shares or debentures of the Company or any of its associated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SHAREHOLDERS’ INTERESTS AND SHORT POSITIONS IN SHARES AND UNDERLYING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so far as the Directors are aware, the following persons (other than the Directors or chief executives of the Company) had interests or short positions in the Shares or underlying Shares of the Company as recorded in the register required to be kept by the Company pursuant to Section 336 of the SFO: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57"/>
        <w:gridCol w:w="60"/>
        <w:gridCol w:w="3660"/>
        <w:gridCol w:w="60"/>
        <w:gridCol w:w="60"/>
        <w:gridCol w:w="1100"/>
        <w:gridCol w:w="60"/>
        <w:gridCol w:w="60"/>
        <w:gridCol w:w="110"/>
        <w:gridCol w:w="1046"/>
        <w:gridCol w:w="232"/>
      </w:tblGrid>
      <w:tr>
        <w:trPr/>
        <w:tc>
          <w:tcPr>
            <w:tcW w:w="3757" w:type="dxa"/>
            <w:tcBorders>
              <w:bottom w:val="single" w:sz="12" w:space="0" w:color="000000"/>
            </w:tcBorders>
            <w:vAlign w:val="center"/>
          </w:tcPr>
          <w:p>
            <w:pPr>
              <w:pStyle w:val="TableContents"/>
              <w:bidi w:val="0"/>
              <w:spacing w:before="0" w:after="283"/>
              <w:jc w:val="left"/>
              <w:rPr>
                <w:b/>
              </w:rPr>
            </w:pPr>
            <w:r>
              <w:rPr>
                <w:b/>
              </w:rPr>
              <w:t>Substantial Shareholder</w:t>
            </w:r>
          </w:p>
        </w:tc>
        <w:tc>
          <w:tcPr>
            <w:tcW w:w="60" w:type="dxa"/>
            <w:tcBorders/>
            <w:tcMar>
              <w:bottom w:w="0" w:type="dxa"/>
            </w:tcMar>
            <w:vAlign w:val="center"/>
          </w:tcPr>
          <w:p>
            <w:pPr>
              <w:pStyle w:val="TableContents"/>
              <w:bidi w:val="0"/>
              <w:spacing w:before="0" w:after="283"/>
              <w:jc w:val="center"/>
              <w:rPr/>
            </w:pPr>
            <w:r>
              <w:rPr/>
              <w:t> </w:t>
            </w:r>
          </w:p>
        </w:tc>
        <w:tc>
          <w:tcPr>
            <w:tcW w:w="3660" w:type="dxa"/>
            <w:tcBorders>
              <w:bottom w:val="single" w:sz="12" w:space="0" w:color="000000"/>
            </w:tcBorders>
            <w:vAlign w:val="center"/>
          </w:tcPr>
          <w:p>
            <w:pPr>
              <w:pStyle w:val="TableContents"/>
              <w:bidi w:val="0"/>
              <w:spacing w:before="0" w:after="283"/>
              <w:jc w:val="center"/>
              <w:rPr>
                <w:b/>
              </w:rPr>
            </w:pPr>
            <w:r>
              <w:rPr>
                <w:b/>
              </w:rPr>
              <w:t>Nature of Interest</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5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tc>
        <w:tc>
          <w:tcPr>
            <w:tcW w:w="232" w:type="dxa"/>
            <w:tcBorders/>
            <w:tcMar>
              <w:bottom w:w="0" w:type="dxa"/>
            </w:tcMar>
            <w:vAlign w:val="center"/>
          </w:tcPr>
          <w:p>
            <w:pPr>
              <w:pStyle w:val="TableContents"/>
              <w:bidi w:val="0"/>
              <w:spacing w:before="0" w:after="283"/>
              <w:jc w:val="center"/>
              <w:rPr/>
            </w:pPr>
            <w:r>
              <w:rPr/>
              <w:t> </w:t>
            </w:r>
          </w:p>
        </w:tc>
      </w:tr>
      <w:tr>
        <w:trPr/>
        <w:tc>
          <w:tcPr>
            <w:tcW w:w="375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6" w:type="dxa"/>
            <w:gridSpan w:val="2"/>
            <w:tcBorders/>
            <w:tcMar>
              <w:bottom w:w="0" w:type="dxa"/>
            </w:tcMar>
            <w:vAlign w:val="center"/>
          </w:tcPr>
          <w:p>
            <w:pPr>
              <w:pStyle w:val="TableContents"/>
              <w:bidi w:val="0"/>
              <w:spacing w:before="0" w:after="283"/>
              <w:jc w:val="right"/>
              <w:rPr/>
            </w:pPr>
            <w:r>
              <w:rPr/>
              <w:t> </w:t>
            </w:r>
          </w:p>
        </w:tc>
        <w:tc>
          <w:tcPr>
            <w:tcW w:w="232" w:type="dxa"/>
            <w:tcBorders/>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Li Ju-Yun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Interest of spouse</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16.74</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Dr. Guo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Interest held jointly with other persons</w:t>
            </w:r>
            <w:r>
              <w:rPr>
                <w:position w:val="8"/>
                <w:sz w:val="19"/>
              </w:rPr>
              <w:t>(3, 5)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16.74</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Settlor of discretionary trust</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Gao Sharon Xia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Interest of spouse</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16.74</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Dr. Zhai SPV</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Beneficial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62,531,624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16.74</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Interest held jointly with other persons</w:t>
            </w: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South Dakota Trust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Trustee</w:t>
            </w:r>
            <w:r>
              <w:rPr>
                <w:position w:val="8"/>
                <w:sz w:val="19"/>
              </w:rPr>
              <w:t>(5, 6)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53,801,751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14.40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Takeda Pharmaceuticals International 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Beneficial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24,307,322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6.51</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75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r>
      <w:tr>
        <w:trPr/>
        <w:tc>
          <w:tcPr>
            <w:tcW w:w="3757" w:type="dxa"/>
            <w:tcBorders/>
            <w:shd w:fill="CCEEFF" w:val="clear"/>
            <w:tcMar>
              <w:bottom w:w="0" w:type="dxa"/>
            </w:tcMar>
            <w:vAlign w:val="center"/>
          </w:tcPr>
          <w:p>
            <w:pPr>
              <w:pStyle w:val="TableContents"/>
              <w:bidi w:val="0"/>
              <w:spacing w:before="0" w:after="283"/>
              <w:jc w:val="left"/>
              <w:rPr/>
            </w:pPr>
            <w:r>
              <w:rPr/>
              <w:t>Takeda Pharmaceuticals Company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0" w:type="dxa"/>
            <w:tcBorders/>
            <w:shd w:fill="CCEEFF" w:val="clear"/>
            <w:tcMar>
              <w:bottom w:w="0" w:type="dxa"/>
            </w:tcMar>
            <w:vAlign w:val="center"/>
          </w:tcPr>
          <w:p>
            <w:pPr>
              <w:pStyle w:val="TableContents"/>
              <w:bidi w:val="0"/>
              <w:spacing w:before="0" w:after="283"/>
              <w:jc w:val="left"/>
              <w:rPr/>
            </w:pPr>
            <w:r>
              <w:rPr/>
              <w:t>Interest of controlled corporation</w:t>
            </w:r>
            <w:r>
              <w:rPr>
                <w:position w:val="8"/>
                <w:sz w:val="19"/>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24,307,322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283"/>
              <w:jc w:val="right"/>
              <w:rPr/>
            </w:pPr>
            <w:r>
              <w:rPr/>
              <w:t>6.51</w:t>
            </w:r>
          </w:p>
        </w:tc>
        <w:tc>
          <w:tcPr>
            <w:tcW w:w="23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3455" w:type="dxa"/>
            <w:tcBorders/>
            <w:vAlign w:val="center"/>
          </w:tcPr>
          <w:p>
            <w:pPr>
              <w:pStyle w:val="TableContents"/>
              <w:bidi w:val="0"/>
              <w:spacing w:before="0" w:after="283"/>
              <w:jc w:val="both"/>
              <w:rPr/>
            </w:pPr>
            <w:r>
              <w:rPr/>
              <w:t>All interests stated are long position.</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283"/>
              <w:jc w:val="both"/>
              <w:rPr/>
            </w:pPr>
            <w:r>
              <w:rPr/>
              <w:t>Ms. Li Ju-Yun is Dr. Wang’s spouse, and is therefore deemed to be interested in the Shares held by Dr. Wang.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Dr. Yang, Dr. Guo, Dr. Wang, Dr. Zhai and Dr. Zhai SPV are parties to the Concert Party Confirmation Deed, according to which they have been and will be actively cooperating, communicating and acting in concert with each other with respect to their interests in or the business of the relevant members of our Group since December 5, 2016 and will continue to act in concert after Listing. Accordingly, each of Dr. Yang, Dr. Guo, Dr. Wang, Dr. Zhai and Dr. Zhai SPV is deemed to be interested in an aggregate of 16.74% shareholding interest in our Company.</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283"/>
              <w:jc w:val="both"/>
              <w:rPr/>
            </w:pPr>
            <w:r>
              <w:rPr/>
              <w:t>Ms. Gao Sharon Xia is Dr. Guo’s spouse, and is therefore deemed to be interested in the Shares held by Dr. Guo.</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Yang Family Trust, the Wang Family Trust and the Guo Family Trust were respectively established by Dr. Yang, Dr. Wang and Dr. Guo as settlor for the benefits of their respective family members. South Dakota Trust is the trustee of each of the Founders Family Trusts.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6.</w:t>
            </w:r>
          </w:p>
        </w:tc>
        <w:tc>
          <w:tcPr>
            <w:tcW w:w="10008" w:type="dxa"/>
            <w:tcBorders/>
            <w:vAlign w:val="center"/>
          </w:tcPr>
          <w:p>
            <w:pPr>
              <w:pStyle w:val="TableContents"/>
              <w:bidi w:val="0"/>
              <w:spacing w:before="0" w:after="283"/>
              <w:jc w:val="both"/>
              <w:rPr/>
            </w:pPr>
            <w:r>
              <w:rPr/>
              <w:t>Dr. Zhai SPV is beneficially owned by (i) Dr. Zhai (3%) and (ii) the Zhai Family Trust (97%). The Zhai Family Trust was established by Dr. Zhai as settlor for the benefit of her family members. South Dakota Trust is the trustee of the Zhai Family Trust. Dr. Zhai is also a director of Dr. Zhai SPV.</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7.</w:t>
            </w:r>
          </w:p>
        </w:tc>
        <w:tc>
          <w:tcPr>
            <w:tcW w:w="10005" w:type="dxa"/>
            <w:tcBorders/>
            <w:vAlign w:val="center"/>
          </w:tcPr>
          <w:p>
            <w:pPr>
              <w:pStyle w:val="TableContents"/>
              <w:bidi w:val="0"/>
              <w:spacing w:before="0" w:after="283"/>
              <w:jc w:val="both"/>
              <w:rPr/>
            </w:pPr>
            <w:r>
              <w:rPr/>
              <w:t>Takeda Pharmaceuticals International AG is beneficially owned by Takeda Pharmaceuticals Company Limited. Therefore, Takeda Pharmaceuticals Company Limited is deemed to be interested in the Shares held by Takeda Pharmaceuticals International AG.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8.</w:t>
            </w:r>
          </w:p>
        </w:tc>
        <w:tc>
          <w:tcPr>
            <w:tcW w:w="9969" w:type="dxa"/>
            <w:tcBorders/>
            <w:vAlign w:val="center"/>
          </w:tcPr>
          <w:p>
            <w:pPr>
              <w:pStyle w:val="TableContents"/>
              <w:bidi w:val="0"/>
              <w:spacing w:before="0" w:after="283"/>
              <w:jc w:val="both"/>
              <w:rPr/>
            </w:pPr>
            <w:r>
              <w:rPr/>
              <w:t>All interests are calculated based on the total Shares in issue as at June 30, 2026, being 373,555,768 Shares.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PLANS</w:t>
      </w:r>
    </w:p>
    <w:p>
      <w:pPr>
        <w:pStyle w:val="TextBody"/>
        <w:bidi w:val="0"/>
        <w:spacing w:before="0" w:after="0"/>
        <w:ind w:left="0" w:right="0" w:hanging="0"/>
        <w:jc w:val="both"/>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38"/>
        <w:gridCol w:w="20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945" w:type="dxa"/>
            <w:tcBorders/>
            <w:vAlign w:val="center"/>
          </w:tcPr>
          <w:p>
            <w:pPr>
              <w:pStyle w:val="TableContents"/>
              <w:bidi w:val="0"/>
              <w:spacing w:before="0" w:after="283"/>
              <w:jc w:val="both"/>
              <w:rPr/>
            </w:pPr>
            <w:r>
              <w:rPr/>
              <w:t>Pre-IPO Share Option Scheme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Pre-IPO Share Option Scheme is to reward the eligible participants who have contributed or will contribute to the Group and to encourage them to continue to work for the Group towards enhancing the value of the Shares which will benefit the Group and the Shareholders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principal terms of the Pre-IPO Share Option Scheme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eligible to participate in the Pre-IPO Share Option Scheme include any substantial shareholder, existing or incoming employees of the Group which include the directors (including executive directors, non-executive directors and independent non-executive directors) and any advisors, consultants, distributors, contractors, suppliers, agents, customers, business partners, joint venture business partners, promoters, service providers of any member of the Group who the Board considers, in its sole discretion, have contributed or will contribute to the Group.</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eligibility of any participant to the grant of any option shall be determined by the Board (or as the case may be, where required under the Listing Rules, the independent non-executive directors) from time to time on the basis of the participant’s contribution or potential contribution to the development and growth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Entitlement of Each Participant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approved by the Shareholders in a general meeting, the maximum number of Shares underlying the options granted to each eligible participant (including both exercised and outstanding options) in any 12-month period shall not exceed 1% of the Shares in issue for the time being.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Available for Issue under the Pre-IPO Share Option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limit on the number of underlying shares which may be delivered pursuant to share options granted under the Pre-IPO Share Option Scheme is 12,307,533 Shares, representing 3.29% of the issued capital of the Company, with a par value of US$0.0001 each as at June 30, 2026 and 3.29% of the issued capital of the Company as at the date of this interim report. As the overall limit of the Pre-IPO Share Option Scheme has been fully utilized, no further options are available for grant at the beginning and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of HK$1.00 is required to be paid by the grantees for the grant of awards under the Pre-IPO Share Option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Determination of Exercise Price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all the share options granted under the Pre-IPO Share Option Scheme is HK$0.01 as determined by the Board at the time of the grant.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 of the Pre-IPO Share Option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Pre-IPO Share Option Scheme was approved and adopted pursuant to the resolutions of the shareholders passed on July 13, 2018 and may be terminated by the Board or the Company by ordinary resolution in general meeting. No further option will be granted or offered after the Listing Date. In the event of termination, the provisions of the Pre-IPO Share Option Scheme shall remain in full force and effect to the extent necessary to give effect to the exercise of any subsisting options granted during the life of the Pre-IPO Share Option Scheme and which remain unexpired immediately prior to the termination of the Pre-IPO Share Option Scheme.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Share 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details of the outstanding share options granted to all grantees under the Pre-IPO Share Option Scheme as at June 30, 2026. All the options under the Pre-IPO Share Option Scheme were granted on or before the Listing Date and no further options will be granted under the Pre-IPO Share Option Scheme after the Listing Date. For further details on the movement of the options during the Reporting Period, please see the below summary: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67"/>
        <w:gridCol w:w="60"/>
        <w:gridCol w:w="60"/>
        <w:gridCol w:w="1100"/>
        <w:gridCol w:w="60"/>
        <w:gridCol w:w="60"/>
        <w:gridCol w:w="1925"/>
        <w:gridCol w:w="60"/>
        <w:gridCol w:w="60"/>
        <w:gridCol w:w="998"/>
        <w:gridCol w:w="60"/>
        <w:gridCol w:w="60"/>
        <w:gridCol w:w="70"/>
        <w:gridCol w:w="809"/>
        <w:gridCol w:w="60"/>
        <w:gridCol w:w="60"/>
        <w:gridCol w:w="70"/>
        <w:gridCol w:w="809"/>
        <w:gridCol w:w="60"/>
        <w:gridCol w:w="60"/>
        <w:gridCol w:w="70"/>
        <w:gridCol w:w="809"/>
        <w:gridCol w:w="60"/>
        <w:gridCol w:w="60"/>
        <w:gridCol w:w="60"/>
        <w:gridCol w:w="998"/>
        <w:gridCol w:w="80"/>
      </w:tblGrid>
      <w:tr>
        <w:trPr/>
        <w:tc>
          <w:tcPr>
            <w:tcW w:w="1567" w:type="dxa"/>
            <w:tcBorders>
              <w:bottom w:val="single" w:sz="12" w:space="0" w:color="000000"/>
            </w:tcBorders>
            <w:vAlign w:val="center"/>
          </w:tcPr>
          <w:p>
            <w:pPr>
              <w:pStyle w:val="TableContents"/>
              <w:bidi w:val="0"/>
              <w:spacing w:before="0" w:after="283"/>
              <w:ind w:left="0" w:right="0" w:hanging="180"/>
              <w:jc w:val="left"/>
              <w:rPr>
                <w:b/>
              </w:rPr>
            </w:pPr>
            <w:r>
              <w:rPr>
                <w:b/>
              </w:rPr>
              <w:t>Relevant Grantee</w:t>
            </w:r>
          </w:p>
        </w:tc>
        <w:tc>
          <w:tcPr>
            <w:tcW w:w="60" w:type="dxa"/>
            <w:tcBorders/>
            <w:tcMar>
              <w:bottom w:w="0" w:type="dxa"/>
            </w:tcMar>
            <w:vAlign w:val="center"/>
          </w:tcPr>
          <w:p>
            <w:pPr>
              <w:pStyle w:val="TableContents"/>
              <w:bidi w:val="0"/>
              <w:spacing w:before="0" w:after="283"/>
              <w:jc w:val="center"/>
              <w:rPr/>
            </w:pPr>
            <w:r>
              <w:rPr/>
              <w:t> </w:t>
            </w:r>
          </w:p>
        </w:tc>
        <w:tc>
          <w:tcPr>
            <w:tcW w:w="116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underlying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Shares to be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issued upon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option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full</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Date of Grant</w:t>
            </w:r>
          </w:p>
        </w:tc>
        <w:tc>
          <w:tcPr>
            <w:tcW w:w="60" w:type="dxa"/>
            <w:tcBorders/>
            <w:tcMar>
              <w:bottom w:w="0" w:type="dxa"/>
            </w:tcMar>
            <w:vAlign w:val="center"/>
          </w:tcPr>
          <w:p>
            <w:pPr>
              <w:pStyle w:val="TableContents"/>
              <w:bidi w:val="0"/>
              <w:spacing w:before="0" w:after="283"/>
              <w:jc w:val="center"/>
              <w:rPr/>
            </w:pPr>
            <w:r>
              <w:rPr/>
              <w:t> </w:t>
            </w:r>
          </w:p>
        </w:tc>
        <w:tc>
          <w:tcPr>
            <w:tcW w:w="105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7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5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tcMar>
              <w:bottom w:w="0" w:type="dxa"/>
            </w:tcMar>
            <w:vAlign w:val="center"/>
          </w:tcPr>
          <w:p>
            <w:pPr>
              <w:pStyle w:val="TableContents"/>
              <w:bidi w:val="0"/>
              <w:spacing w:before="0" w:after="283"/>
              <w:ind w:left="0" w:right="0" w:hanging="180"/>
              <w:jc w:val="center"/>
              <w:rPr/>
            </w:pPr>
            <w:r>
              <w:rPr/>
              <w:t> </w:t>
            </w:r>
          </w:p>
        </w:tc>
      </w:tr>
      <w:tr>
        <w:trPr/>
        <w:tc>
          <w:tcPr>
            <w:tcW w:w="156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05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8" w:type="dxa"/>
            <w:gridSpan w:val="2"/>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b/>
              </w:rPr>
            </w:pPr>
            <w:r>
              <w:rPr>
                <w:b/>
              </w:rPr>
              <w:t>Directors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CCEEFF" w:val="clear"/>
            <w:tcMar>
              <w:bottom w:w="0" w:type="dxa"/>
            </w:tcMar>
            <w:vAlign w:val="center"/>
          </w:tcPr>
          <w:p>
            <w:pPr>
              <w:pStyle w:val="TableContents"/>
              <w:bidi w:val="0"/>
              <w:spacing w:before="0" w:after="283"/>
              <w:jc w:val="left"/>
              <w:rPr/>
            </w:pPr>
            <w:r>
              <w:rPr/>
              <w:t>Tian Yuan (resigned on May 20,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292,714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August 15,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292,714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292,714</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pPr>
            <w:r>
              <w:rPr/>
              <w:t>Zhao Qun (resigned on March 31,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292,714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August 15,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292,714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292,714</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CCEEFF" w:val="clear"/>
            <w:tcMar>
              <w:bottom w:w="0" w:type="dxa"/>
            </w:tcMar>
            <w:vAlign w:val="center"/>
          </w:tcPr>
          <w:p>
            <w:pPr>
              <w:pStyle w:val="TableContents"/>
              <w:bidi w:val="0"/>
              <w:spacing w:before="0" w:after="283"/>
              <w:jc w:val="left"/>
              <w:rPr/>
            </w:pPr>
            <w:r>
              <w:rPr/>
              <w:t>Lu Dazhong Simon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41,457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August 15,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41,457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41,457</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pPr>
            <w:r>
              <w:rPr/>
              <w:t>Liu Qian (resigned on May 20,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37,688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August 15,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37,688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37,688</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b/>
              </w:rPr>
            </w:pPr>
            <w:r>
              <w:rPr>
                <w:b/>
              </w:rPr>
              <w:t>Other grantees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CCEEFF" w:val="clear"/>
            <w:tcMar>
              <w:bottom w:w="0" w:type="dxa"/>
            </w:tcMar>
            <w:vAlign w:val="center"/>
          </w:tcPr>
          <w:p>
            <w:pPr>
              <w:pStyle w:val="TableContents"/>
              <w:bidi w:val="0"/>
              <w:spacing w:before="0" w:after="283"/>
              <w:jc w:val="left"/>
              <w:rPr/>
            </w:pPr>
            <w:r>
              <w:rPr/>
              <w:t>45 administrative and other staff</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1,376,454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jc w:val="center"/>
              <w:rPr/>
            </w:pPr>
            <w:r>
              <w:rPr/>
              <w:t>Between</w:t>
            </w:r>
          </w:p>
          <w:p>
            <w:pPr>
              <w:pStyle w:val="TableContents"/>
              <w:bidi w:val="0"/>
              <w:spacing w:before="0" w:after="283"/>
              <w:jc w:val="center"/>
              <w:rPr/>
            </w:pPr>
            <w:r>
              <w:rPr/>
              <w:t>August 15, 2018</w:t>
              <w:br/>
              <w:t>to</w:t>
              <w:br/>
              <w:t>September 16,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152,044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5,058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146,986</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pPr>
            <w:r>
              <w:rPr/>
              <w:t>316 research and development staff</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10,263,455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1,335,610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22,113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1,313,497</w:t>
            </w:r>
          </w:p>
        </w:tc>
        <w:tc>
          <w:tcPr>
            <w:tcW w:w="8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67"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righ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b/>
              </w:rPr>
            </w:pPr>
            <w:r>
              <w:rPr>
                <w:b/>
              </w:rPr>
              <w:t>2,152,227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27,171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FFFFFF" w:val="clear"/>
            <w:vAlign w:val="center"/>
          </w:tcPr>
          <w:p>
            <w:pPr>
              <w:pStyle w:val="TableContents"/>
              <w:bidi w:val="0"/>
              <w:spacing w:before="0" w:after="283"/>
              <w:jc w:val="right"/>
              <w:rPr/>
            </w:pPr>
            <w:r>
              <w:rPr/>
              <w:t> </w:t>
            </w:r>
          </w:p>
        </w:tc>
        <w:tc>
          <w:tcPr>
            <w:tcW w:w="809"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righ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2,125,056</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The vesting dates of the options and the period during which the options can be exercised are set forth in the relevant grant letters in accordance with the Pre-IPO Share Option Scheme and disclosed in the Prospectus.</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2.</w:t>
            </w:r>
          </w:p>
        </w:tc>
        <w:tc>
          <w:tcPr>
            <w:tcW w:w="10004" w:type="dxa"/>
            <w:tcBorders/>
            <w:vAlign w:val="center"/>
          </w:tcPr>
          <w:p>
            <w:pPr>
              <w:pStyle w:val="TableContents"/>
              <w:bidi w:val="0"/>
              <w:spacing w:before="0" w:after="283"/>
              <w:jc w:val="both"/>
              <w:rPr/>
            </w:pPr>
            <w:r>
              <w:rPr/>
              <w:t>All the options are exercisable upon vesting at an exercise price of HK$0.01 per Share. The weighted average closing price of the Shares immediately before the date on which the options were exercised by the employees of the Group is HK$45.41.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20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020" w:type="dxa"/>
            <w:tcBorders/>
            <w:vAlign w:val="center"/>
          </w:tcPr>
          <w:p>
            <w:pPr>
              <w:pStyle w:val="TableContents"/>
              <w:bidi w:val="0"/>
              <w:spacing w:before="0" w:after="283"/>
              <w:jc w:val="both"/>
              <w:rPr/>
            </w:pPr>
            <w:r>
              <w:rPr/>
              <w:t>Post IPO Share Option Scheme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Post IPO Share Option Scheme is to enable the Company to grant options to eligible participants incentives or rewards for their contribution or potential contribution to the Group and to provide the eligible participants an opportunity to have a personal stake in the Company with the view to motivate the eligible participants to optimize their performance efficiency for the benefit of the Group; attract and retain or otherwise maintain on-going business relationship with the eligible participants whose contributions are or will be beneficial to the long-term growth of the Group; and/or for such purposes as the Board may approve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principal terms of the Post IPO Share Option Scheme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its absolute discretion, offer to grant options to the following persons: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t>any executive director of, manager of, or other employee holding an executive, managerial, supervisory or similar position in any member of the Group, any full-time or part-time employee, or a person for the time being seconded to work full-time or part-time for any member of the Group;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2" w:type="dxa"/>
            <w:tcBorders/>
            <w:vAlign w:val="center"/>
          </w:tcPr>
          <w:p>
            <w:pPr>
              <w:pStyle w:val="TableContents"/>
              <w:bidi w:val="0"/>
              <w:spacing w:before="0" w:after="283"/>
              <w:jc w:val="both"/>
              <w:rPr/>
            </w:pPr>
            <w:r>
              <w:rPr/>
              <w:t>a director or proposed director (including an independent non-executive director) of any member of the Group;</w:t>
            </w:r>
          </w:p>
        </w:tc>
      </w:tr>
    </w:tbl>
    <w:p>
      <w:pPr>
        <w:pStyle w:val="TextBody"/>
        <w:bidi w:val="0"/>
        <w:spacing w:before="0" w:after="0"/>
        <w:ind w:left="0" w:right="0" w:hanging="0"/>
        <w:jc w:val="both"/>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35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590" w:type="dxa"/>
            <w:tcBorders/>
            <w:vAlign w:val="center"/>
          </w:tcPr>
          <w:p>
            <w:pPr>
              <w:pStyle w:val="TableContents"/>
              <w:bidi w:val="0"/>
              <w:spacing w:before="0" w:after="283"/>
              <w:jc w:val="both"/>
              <w:rPr/>
            </w:pPr>
            <w:r>
              <w:rPr/>
              <w:t>a service provider (as defined in the Post-IPO Share Option Scheme).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Available for Issue under the Post IPO Share Option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options available for grant under the overall limit of the Post IPO Share Option Scheme is 14,274,219 Shares at the beginning of the Reporting Period and 12,991,256 Shares at the end of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which may be issued upon exercise of all options to be granted under the Post IPO Share Option Scheme and any other schemes of our Group is 12,991,256, being no more than 10% of the Shares in issue as at May 19, 2025 (the “</w:t>
      </w:r>
      <w:r>
        <w:rPr>
          <w:rFonts w:ascii="Times New Roman;Times;Serif" w:hAnsi="Times New Roman;Times;Serif"/>
          <w:b/>
          <w:i w:val="false"/>
          <w:caps w:val="false"/>
          <w:smallCaps w:val="false"/>
          <w:sz w:val="20"/>
        </w:rPr>
        <w:t>Scheme Mandate Limit</w:t>
      </w:r>
      <w:r>
        <w:rPr>
          <w:rFonts w:ascii="Times New Roman;Times;Serif" w:hAnsi="Times New Roman;Times;Serif"/>
          <w:b w:val="false"/>
          <w:i w:val="false"/>
          <w:caps w:val="false"/>
          <w:smallCaps w:val="false"/>
          <w:sz w:val="20"/>
        </w:rPr>
        <w:t>”), representing 3.48% of the total issued shares of the Company as of the date of this interim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Scheme Mandate Limit may be refreshed at any time as the Board may think fit by obtaining prior approval of our Shareholders in general meeting and/or such other requirements prescribed under the Listing Rules from time to time. However, the refreshed Scheme Mandate Limit cannot exceed 10% of the Shares in issue as at the date of such approval. Options previously granted under the Post IPO Share Option Scheme and any other share option schemes of our Company (and to which provisions of Chapter 17 of the Listing Rules are applicable) (including those outstanding, cancelled or lapsed in accordance with its terms or exercised), shall not be counted for the purpose of calculating the refreshed Scheme Mandate Limit.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which may be issued upon exercise of all outstanding options granted and yet to be exercised under the Post IPO Share Option Scheme and any other schemes of the Group shall not exceed Scheme Mandate Limit. No options may be granted under the Post IPO Share Option Scheme and any other share option scheme of the Company if this will result in such limit being exceeded.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1,306,601 options were granted and 23,638 options lapsed under the Post IPO Share Option Scheme, and no options were exercised or cancelled. As at June 30, 2026, 1,916,206 options remained outstanding and the total number of Shares available for grant under the Post IPO Share Option Scheme was 12,991,256 Shares, representing approximately 3.48% of the issued share capital of the Company as at June 30, 2026 and 3.48% of the issued share capital of the Company as at the date of this interim report.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entitlement of Each Participant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approved by the Shareholders in a general meeting, the maximum number of Shares underlying the options granted to each eligible participant (including both exercised and outstanding options) in any 12-month period shall not exceed 1% of the Shares in issue for the time being.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 of the Post IPO Share Option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Post IPO Share Option Scheme shall be valid and effective for a period of 10 years from the Listing Date, after which no further options will be granted or offered but the provisions of the Post IPO Share Option Scheme shall remain in full force and effect to the extent necessary to give effect to the exercise of any subsisting options granted prior to the expiry of the 10-years period or otherwise as may be required in accordance with the provisions of the Post IPO Share Option Scheme. The remaining life of the Post IPO Share Option Scheme is approximately three years and two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Price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any particular Option shall be such price as our Board may in its absolute discretion determine at the time of grant of the relevant Option (and shall be stated in the letter containing the offer of the grant of the Option) but in any event shall not be less than the highest of (i) the closing price of a Share as stated in the Stock Exchange’s daily quotations sheet on the date of grant; and (ii) the average closing price of a Share as stated in the Stock Exchange’s daily quotations sheets for the 5 business days (as defined in the Listing Rules) immediately preceding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Consideration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of HK$1.00 is required to be paid by the grantees for the grant of awards under the Post IPO Share Option Scheme and such payment must be made within 28 days from the date the share option grant offer is made to the grantee.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Minimum Holding Period, Vesting and Performance Target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Listing Rules, our Board may in its absolute discretion when offering the grant of an Option impose any conditions, restrictions or limitations in relation thereto in addition to those set forth in the Post IPO Share Option Scheme as our Board may think fit (to be stated in the letter containing the offer of the grant of the Option) including (without prejudice to the generality of the foregoing) qualifying and/or continuing eligibility criteria, conditions, restrictions or limitations relating to the achievement of performance, operating or financial targets by our Company and/or the grantee, the satisfactory performance or maintenance by the grantee of certain conditions or obligations or the time or period before the right to exercise the Option in respect of all or any of our Shares shall vest provided that such terms or conditions shall not be inconsistent with any other terms or conditions of the Post IPO Share Option Scheme.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Share 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details of the outstanding share options granted to all grantees under the Post IPO Share Option Scheme as at June 30, 2026. For further details on the movement of the options during the Reporting Period, please see the below summary:</w:t>
      </w:r>
    </w:p>
    <w:p>
      <w:pPr>
        <w:pStyle w:val="TextBody"/>
        <w:bidi w:val="0"/>
        <w:spacing w:before="0" w:after="0"/>
        <w:ind w:left="0" w:right="0" w:hanging="0"/>
        <w:jc w:val="both"/>
        <w:rPr>
          <w:caps w:val="false"/>
          <w:smallCaps w:val="false"/>
        </w:rPr>
      </w:pPr>
      <w:r>
        <w:rPr>
          <w:caps w:val="false"/>
          <w:smallCaps w:val="false"/>
        </w:rPr>
        <w:t> </w:t>
      </w:r>
    </w:p>
    <w:tbl>
      <w:tblPr>
        <w:tblW w:w="10720" w:type="dxa"/>
        <w:jc w:val="left"/>
        <w:tblInd w:w="0" w:type="dxa"/>
        <w:tblLayout w:type="fixed"/>
        <w:tblCellMar>
          <w:top w:w="0" w:type="dxa"/>
          <w:left w:w="0" w:type="dxa"/>
          <w:bottom w:w="0" w:type="dxa"/>
          <w:right w:w="0" w:type="dxa"/>
        </w:tblCellMar>
      </w:tblPr>
      <w:tblGrid>
        <w:gridCol w:w="605"/>
        <w:gridCol w:w="60"/>
        <w:gridCol w:w="1385"/>
        <w:gridCol w:w="60"/>
        <w:gridCol w:w="73"/>
        <w:gridCol w:w="982"/>
        <w:gridCol w:w="60"/>
        <w:gridCol w:w="60"/>
        <w:gridCol w:w="61"/>
        <w:gridCol w:w="814"/>
        <w:gridCol w:w="60"/>
        <w:gridCol w:w="60"/>
        <w:gridCol w:w="1025"/>
        <w:gridCol w:w="60"/>
        <w:gridCol w:w="560"/>
        <w:gridCol w:w="560"/>
        <w:gridCol w:w="60"/>
        <w:gridCol w:w="60"/>
        <w:gridCol w:w="262"/>
        <w:gridCol w:w="613"/>
        <w:gridCol w:w="60"/>
        <w:gridCol w:w="60"/>
        <w:gridCol w:w="262"/>
        <w:gridCol w:w="613"/>
        <w:gridCol w:w="60"/>
        <w:gridCol w:w="60"/>
        <w:gridCol w:w="262"/>
        <w:gridCol w:w="613"/>
        <w:gridCol w:w="60"/>
        <w:gridCol w:w="60"/>
        <w:gridCol w:w="73"/>
        <w:gridCol w:w="982"/>
        <w:gridCol w:w="75"/>
      </w:tblGrid>
      <w:tr>
        <w:trPr/>
        <w:tc>
          <w:tcPr>
            <w:tcW w:w="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720" w:type="dxa"/>
            <w:gridSpan w:val="33"/>
            <w:tcBorders/>
            <w:vAlign w:val="center"/>
          </w:tcPr>
          <w:p>
            <w:pPr>
              <w:pStyle w:val="TableContents"/>
              <w:bidi w:val="0"/>
              <w:spacing w:before="0" w:after="283"/>
              <w:jc w:val="left"/>
              <w:rPr>
                <w:b/>
              </w:rPr>
            </w:pPr>
            <w:r>
              <w:rPr>
                <w:b/>
              </w:rPr>
              <w:t>Directors of the Company</w:t>
            </w:r>
          </w:p>
        </w:tc>
      </w:tr>
      <w:tr>
        <w:trPr/>
        <w:tc>
          <w:tcPr>
            <w:tcW w:w="605" w:type="dxa"/>
            <w:tcBorders/>
            <w:shd w:fill="CCEEFF" w:val="clear"/>
            <w:vAlign w:val="center"/>
          </w:tcPr>
          <w:p>
            <w:pPr>
              <w:pStyle w:val="TableContents"/>
              <w:bidi w:val="0"/>
              <w:spacing w:before="0" w:after="283"/>
              <w:jc w:val="left"/>
              <w:rPr/>
            </w:pPr>
            <w:r>
              <w:rPr/>
              <w:t>Dr. Yang</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w:t>
              <w:br/>
              <w:t>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143,363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70"/>
              <w:jc w:val="lef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143,363</w:t>
            </w:r>
          </w:p>
        </w:tc>
        <w:tc>
          <w:tcPr>
            <w:tcW w:w="75" w:type="dxa"/>
            <w:tcBorders/>
            <w:shd w:fill="CCEEFF" w:val="clear"/>
            <w:vAlign w:val="center"/>
          </w:tcPr>
          <w:p>
            <w:pPr>
              <w:pStyle w:val="TableContents"/>
              <w:bidi w:val="0"/>
              <w:spacing w:before="0" w:after="283"/>
              <w:jc w:val="left"/>
              <w:rPr/>
            </w:pPr>
            <w:r>
              <w:rPr/>
              <w:t> </w:t>
            </w:r>
          </w:p>
        </w:tc>
      </w:tr>
      <w:tr>
        <w:trPr/>
        <w:tc>
          <w:tcPr>
            <w:tcW w:w="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April 20,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298,194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170"/>
              <w:jc w:val="lef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four tranches equally on May 21, 2027, May 21, 2028, May 21, 2029 and May 21, 2030, respectively.</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33.35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298,194</w:t>
            </w:r>
          </w:p>
        </w:tc>
        <w:tc>
          <w:tcPr>
            <w:tcW w:w="75" w:type="dxa"/>
            <w:tcBorders/>
            <w:shd w:fill="CCEE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pPr>
            <w:r>
              <w:rPr/>
              <w:t>Dr. Wang</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17,965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70"/>
              <w:jc w:val="left"/>
              <w:rPr/>
            </w:pPr>
            <w:r>
              <w:rPr/>
              <w:t> </w:t>
            </w:r>
          </w:p>
        </w:tc>
        <w:tc>
          <w:tcPr>
            <w:tcW w:w="1025" w:type="dxa"/>
            <w:tcBorders/>
            <w:shd w:fill="FFFF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17,965</w:t>
            </w:r>
          </w:p>
        </w:tc>
        <w:tc>
          <w:tcPr>
            <w:tcW w:w="75" w:type="dxa"/>
            <w:tcBorders/>
            <w:shd w:fill="FFFFFF" w:val="clear"/>
            <w:vAlign w:val="center"/>
          </w:tcPr>
          <w:p>
            <w:pPr>
              <w:pStyle w:val="TableContents"/>
              <w:bidi w:val="0"/>
              <w:spacing w:before="0" w:after="283"/>
              <w:jc w:val="left"/>
              <w:rPr/>
            </w:pPr>
            <w:r>
              <w:rPr/>
              <w:t> </w:t>
            </w:r>
          </w:p>
        </w:tc>
      </w:tr>
      <w:tr>
        <w:trPr/>
        <w:tc>
          <w:tcPr>
            <w:tcW w:w="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15,929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70"/>
              <w:jc w:val="left"/>
              <w:rPr/>
            </w:pPr>
            <w:r>
              <w:rPr/>
              <w:t> </w:t>
            </w:r>
          </w:p>
        </w:tc>
        <w:tc>
          <w:tcPr>
            <w:tcW w:w="1025" w:type="dxa"/>
            <w:tcBorders/>
            <w:shd w:fill="FFFF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HKD</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15,929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020" w:type="dxa"/>
        <w:jc w:val="left"/>
        <w:tblInd w:w="0" w:type="dxa"/>
        <w:tblLayout w:type="fixed"/>
        <w:tblCellMar>
          <w:top w:w="0" w:type="dxa"/>
          <w:left w:w="0" w:type="dxa"/>
          <w:bottom w:w="0" w:type="dxa"/>
          <w:right w:w="0" w:type="dxa"/>
        </w:tblCellMar>
      </w:tblPr>
      <w:tblGrid>
        <w:gridCol w:w="1085"/>
        <w:gridCol w:w="60"/>
        <w:gridCol w:w="1385"/>
        <w:gridCol w:w="60"/>
        <w:gridCol w:w="85"/>
        <w:gridCol w:w="970"/>
        <w:gridCol w:w="60"/>
        <w:gridCol w:w="60"/>
        <w:gridCol w:w="70"/>
        <w:gridCol w:w="805"/>
        <w:gridCol w:w="60"/>
        <w:gridCol w:w="60"/>
        <w:gridCol w:w="1025"/>
        <w:gridCol w:w="60"/>
        <w:gridCol w:w="380"/>
        <w:gridCol w:w="560"/>
        <w:gridCol w:w="60"/>
        <w:gridCol w:w="60"/>
        <w:gridCol w:w="262"/>
        <w:gridCol w:w="613"/>
        <w:gridCol w:w="60"/>
        <w:gridCol w:w="60"/>
        <w:gridCol w:w="262"/>
        <w:gridCol w:w="613"/>
        <w:gridCol w:w="60"/>
        <w:gridCol w:w="60"/>
        <w:gridCol w:w="262"/>
        <w:gridCol w:w="613"/>
        <w:gridCol w:w="60"/>
        <w:gridCol w:w="60"/>
        <w:gridCol w:w="85"/>
        <w:gridCol w:w="970"/>
        <w:gridCol w:w="75"/>
      </w:tblGrid>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Dr. Lu</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w:t>
              <w:br/>
              <w:t>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17,965</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15,929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15,929</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Mr. Ye Changqing</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18,850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18,850</w:t>
            </w:r>
          </w:p>
        </w:tc>
        <w:tc>
          <w:tcPr>
            <w:tcW w:w="7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17,699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17,699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915" w:type="dxa"/>
        <w:jc w:val="left"/>
        <w:tblInd w:w="0" w:type="dxa"/>
        <w:tblLayout w:type="fixed"/>
        <w:tblCellMar>
          <w:top w:w="0" w:type="dxa"/>
          <w:left w:w="0" w:type="dxa"/>
          <w:bottom w:w="0" w:type="dxa"/>
          <w:right w:w="0" w:type="dxa"/>
        </w:tblCellMar>
      </w:tblPr>
      <w:tblGrid>
        <w:gridCol w:w="980"/>
        <w:gridCol w:w="60"/>
        <w:gridCol w:w="1385"/>
        <w:gridCol w:w="60"/>
        <w:gridCol w:w="85"/>
        <w:gridCol w:w="970"/>
        <w:gridCol w:w="60"/>
        <w:gridCol w:w="60"/>
        <w:gridCol w:w="70"/>
        <w:gridCol w:w="805"/>
        <w:gridCol w:w="60"/>
        <w:gridCol w:w="60"/>
        <w:gridCol w:w="1025"/>
        <w:gridCol w:w="60"/>
        <w:gridCol w:w="380"/>
        <w:gridCol w:w="560"/>
        <w:gridCol w:w="60"/>
        <w:gridCol w:w="60"/>
        <w:gridCol w:w="262"/>
        <w:gridCol w:w="613"/>
        <w:gridCol w:w="60"/>
        <w:gridCol w:w="60"/>
        <w:gridCol w:w="262"/>
        <w:gridCol w:w="613"/>
        <w:gridCol w:w="60"/>
        <w:gridCol w:w="60"/>
        <w:gridCol w:w="262"/>
        <w:gridCol w:w="613"/>
        <w:gridCol w:w="60"/>
        <w:gridCol w:w="60"/>
        <w:gridCol w:w="85"/>
        <w:gridCol w:w="970"/>
        <w:gridCol w:w="75"/>
      </w:tblGrid>
      <w:tr>
        <w:trPr/>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Mr. Ren Wei</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w:t>
              <w:br/>
              <w:t>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18,850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18,850</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17,699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17,699</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Dr. Sidransky</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18,850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18,850</w:t>
            </w:r>
          </w:p>
        </w:tc>
        <w:tc>
          <w:tcPr>
            <w:tcW w:w="75"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19,469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19,469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945" w:type="dxa"/>
        <w:jc w:val="left"/>
        <w:tblInd w:w="0" w:type="dxa"/>
        <w:tblLayout w:type="fixed"/>
        <w:tblCellMar>
          <w:top w:w="0" w:type="dxa"/>
          <w:left w:w="0" w:type="dxa"/>
          <w:bottom w:w="0" w:type="dxa"/>
          <w:right w:w="0" w:type="dxa"/>
        </w:tblCellMar>
      </w:tblPr>
      <w:tblGrid>
        <w:gridCol w:w="1010"/>
        <w:gridCol w:w="60"/>
        <w:gridCol w:w="1385"/>
        <w:gridCol w:w="60"/>
        <w:gridCol w:w="85"/>
        <w:gridCol w:w="970"/>
        <w:gridCol w:w="60"/>
        <w:gridCol w:w="60"/>
        <w:gridCol w:w="70"/>
        <w:gridCol w:w="805"/>
        <w:gridCol w:w="60"/>
        <w:gridCol w:w="60"/>
        <w:gridCol w:w="1025"/>
        <w:gridCol w:w="60"/>
        <w:gridCol w:w="380"/>
        <w:gridCol w:w="560"/>
        <w:gridCol w:w="60"/>
        <w:gridCol w:w="60"/>
        <w:gridCol w:w="262"/>
        <w:gridCol w:w="613"/>
        <w:gridCol w:w="60"/>
        <w:gridCol w:w="60"/>
        <w:gridCol w:w="262"/>
        <w:gridCol w:w="613"/>
        <w:gridCol w:w="60"/>
        <w:gridCol w:w="60"/>
        <w:gridCol w:w="262"/>
        <w:gridCol w:w="613"/>
        <w:gridCol w:w="60"/>
        <w:gridCol w:w="60"/>
        <w:gridCol w:w="85"/>
        <w:gridCol w:w="970"/>
        <w:gridCol w:w="75"/>
      </w:tblGrid>
      <w:tr>
        <w:trPr/>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Ms. Marina S. Bozilenko</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w:t>
              <w:br/>
              <w:t>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17,965</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16,814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HK$</w:t>
            </w:r>
          </w:p>
        </w:tc>
        <w:tc>
          <w:tcPr>
            <w:tcW w:w="56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16,814</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Dr. Debra Yu</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17,965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17,965</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16,814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HK$</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16,814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765" w:type="dxa"/>
        <w:jc w:val="left"/>
        <w:tblInd w:w="0" w:type="dxa"/>
        <w:tblLayout w:type="fixed"/>
        <w:tblCellMar>
          <w:top w:w="0" w:type="dxa"/>
          <w:left w:w="0" w:type="dxa"/>
          <w:bottom w:w="0" w:type="dxa"/>
          <w:right w:w="0" w:type="dxa"/>
        </w:tblCellMar>
      </w:tblPr>
      <w:tblGrid>
        <w:gridCol w:w="1190"/>
        <w:gridCol w:w="60"/>
        <w:gridCol w:w="1025"/>
        <w:gridCol w:w="60"/>
        <w:gridCol w:w="73"/>
        <w:gridCol w:w="982"/>
        <w:gridCol w:w="60"/>
        <w:gridCol w:w="60"/>
        <w:gridCol w:w="61"/>
        <w:gridCol w:w="814"/>
        <w:gridCol w:w="60"/>
        <w:gridCol w:w="60"/>
        <w:gridCol w:w="1025"/>
        <w:gridCol w:w="60"/>
        <w:gridCol w:w="380"/>
        <w:gridCol w:w="560"/>
        <w:gridCol w:w="60"/>
        <w:gridCol w:w="60"/>
        <w:gridCol w:w="262"/>
        <w:gridCol w:w="613"/>
        <w:gridCol w:w="60"/>
        <w:gridCol w:w="60"/>
        <w:gridCol w:w="262"/>
        <w:gridCol w:w="613"/>
        <w:gridCol w:w="60"/>
        <w:gridCol w:w="60"/>
        <w:gridCol w:w="70"/>
        <w:gridCol w:w="805"/>
        <w:gridCol w:w="60"/>
        <w:gridCol w:w="60"/>
        <w:gridCol w:w="73"/>
        <w:gridCol w:w="982"/>
        <w:gridCol w:w="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xml:space="preserve">Dr. Marc E. </w:t>
              <w:br/>
              <w:t> Lippman, MD</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twelve tranches equally on November 26, 2025, December 26, 2025, January 26, 2026, February 26, 2026, March 26, 2026, April 26, 2026, May 26, 2026, June 26, 2026, July 26, 2026, August 26, 2026, September 26, 2026 and October 26, 2026, respectively.</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17,965</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17,699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twelve tranches equally on July 29, 2026, August 29, 2026, September 29, 2026, October 29, 2026, November 29, 2026, December 29, 2026, January 29, 2027, March 1, 2027, March 29, 2027, April 29, 2027, May 29, 2027 and June 29, 2027, respectively.</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HK$</w:t>
            </w:r>
          </w:p>
        </w:tc>
        <w:tc>
          <w:tcPr>
            <w:tcW w:w="56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17,699</w:t>
            </w:r>
          </w:p>
        </w:tc>
        <w:tc>
          <w:tcPr>
            <w:tcW w:w="75" w:type="dxa"/>
            <w:tcBorders/>
            <w:shd w:fill="CCEEFF" w:val="clear"/>
            <w:vAlign w:val="center"/>
          </w:tcPr>
          <w:p>
            <w:pPr>
              <w:pStyle w:val="TableContents"/>
              <w:bidi w:val="0"/>
              <w:spacing w:before="0" w:after="283"/>
              <w:jc w:val="left"/>
              <w:rPr/>
            </w:pPr>
            <w:r>
              <w:rPr/>
              <w:t> </w:t>
            </w:r>
          </w:p>
        </w:tc>
      </w:tr>
      <w:tr>
        <w:trPr/>
        <w:tc>
          <w:tcPr>
            <w:tcW w:w="10765" w:type="dxa"/>
            <w:gridSpan w:val="33"/>
            <w:tcBorders/>
            <w:shd w:fill="FFFFFF" w:val="clear"/>
            <w:vAlign w:val="center"/>
          </w:tcPr>
          <w:p>
            <w:pPr>
              <w:pStyle w:val="TableContents"/>
              <w:bidi w:val="0"/>
              <w:spacing w:before="0" w:after="283"/>
              <w:jc w:val="left"/>
              <w:rPr>
                <w:b/>
              </w:rPr>
            </w:pPr>
            <w:r>
              <w:rPr>
                <w:b/>
              </w:rPr>
              <w:t>Substantial shareholder of the Company</w:t>
            </w:r>
          </w:p>
        </w:tc>
      </w:tr>
      <w:tr>
        <w:trPr/>
        <w:tc>
          <w:tcPr>
            <w:tcW w:w="1190" w:type="dxa"/>
            <w:tcBorders/>
            <w:shd w:fill="CCEEFF" w:val="clear"/>
            <w:vAlign w:val="center"/>
          </w:tcPr>
          <w:p>
            <w:pPr>
              <w:pStyle w:val="TableContents"/>
              <w:bidi w:val="0"/>
              <w:spacing w:before="0" w:after="283"/>
              <w:jc w:val="left"/>
              <w:rPr/>
            </w:pPr>
            <w:r>
              <w:rPr/>
              <w:t>Dr. Zhai</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103,364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103,364</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April 20,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214,998</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Options shall vest in four tranches equally on May 21, 2027, May 21, 2028, May 21, 2029 and May 21, 2030, respectively.</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33.35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214,998</w:t>
            </w:r>
          </w:p>
        </w:tc>
        <w:tc>
          <w:tcPr>
            <w:tcW w:w="75" w:type="dxa"/>
            <w:tcBorders/>
            <w:shd w:fill="CCEEFF" w:val="clear"/>
            <w:vAlign w:val="center"/>
          </w:tcPr>
          <w:p>
            <w:pPr>
              <w:pStyle w:val="TableContents"/>
              <w:bidi w:val="0"/>
              <w:spacing w:before="0" w:after="283"/>
              <w:jc w:val="left"/>
              <w:rPr/>
            </w:pPr>
            <w:r>
              <w:rPr/>
              <w:t> </w:t>
            </w:r>
          </w:p>
        </w:tc>
      </w:tr>
      <w:tr>
        <w:trPr/>
        <w:tc>
          <w:tcPr>
            <w:tcW w:w="10765" w:type="dxa"/>
            <w:gridSpan w:val="33"/>
            <w:tcBorders/>
            <w:shd w:fill="FFFFFF" w:val="clear"/>
            <w:vAlign w:val="center"/>
          </w:tcPr>
          <w:p>
            <w:pPr>
              <w:pStyle w:val="TableContents"/>
              <w:bidi w:val="0"/>
              <w:spacing w:before="0" w:after="283"/>
              <w:jc w:val="left"/>
              <w:rPr>
                <w:b/>
              </w:rPr>
            </w:pPr>
            <w:r>
              <w:rPr>
                <w:b/>
              </w:rPr>
              <w:t>Other grantees</w:t>
            </w:r>
          </w:p>
        </w:tc>
      </w:tr>
      <w:tr>
        <w:trPr/>
        <w:tc>
          <w:tcPr>
            <w:tcW w:w="1190" w:type="dxa"/>
            <w:tcBorders/>
            <w:shd w:fill="CCEEFF" w:val="clear"/>
            <w:vAlign w:val="center"/>
          </w:tcPr>
          <w:p>
            <w:pPr>
              <w:pStyle w:val="TableContents"/>
              <w:bidi w:val="0"/>
              <w:spacing w:before="0" w:after="283"/>
              <w:jc w:val="left"/>
              <w:rPr/>
            </w:pPr>
            <w:r>
              <w:rPr/>
              <w:t>7 service providers</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80,000</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17 staff</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263,505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Option Grant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23,638</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239,867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555" w:type="dxa"/>
        <w:jc w:val="left"/>
        <w:tblInd w:w="0" w:type="dxa"/>
        <w:tblLayout w:type="fixed"/>
        <w:tblCellMar>
          <w:top w:w="0" w:type="dxa"/>
          <w:left w:w="0" w:type="dxa"/>
          <w:bottom w:w="0" w:type="dxa"/>
          <w:right w:w="0" w:type="dxa"/>
        </w:tblCellMar>
      </w:tblPr>
      <w:tblGrid>
        <w:gridCol w:w="1040"/>
        <w:gridCol w:w="60"/>
        <w:gridCol w:w="815"/>
        <w:gridCol w:w="60"/>
        <w:gridCol w:w="73"/>
        <w:gridCol w:w="982"/>
        <w:gridCol w:w="60"/>
        <w:gridCol w:w="60"/>
        <w:gridCol w:w="60"/>
        <w:gridCol w:w="980"/>
        <w:gridCol w:w="60"/>
        <w:gridCol w:w="60"/>
        <w:gridCol w:w="800"/>
        <w:gridCol w:w="60"/>
        <w:gridCol w:w="380"/>
        <w:gridCol w:w="560"/>
        <w:gridCol w:w="60"/>
        <w:gridCol w:w="60"/>
        <w:gridCol w:w="60"/>
        <w:gridCol w:w="920"/>
        <w:gridCol w:w="60"/>
        <w:gridCol w:w="60"/>
        <w:gridCol w:w="60"/>
        <w:gridCol w:w="920"/>
        <w:gridCol w:w="60"/>
        <w:gridCol w:w="60"/>
        <w:gridCol w:w="70"/>
        <w:gridCol w:w="805"/>
        <w:gridCol w:w="60"/>
        <w:gridCol w:w="60"/>
        <w:gridCol w:w="60"/>
        <w:gridCol w:w="995"/>
        <w:gridCol w:w="75"/>
      </w:tblGrid>
      <w:tr>
        <w:trPr/>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options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pPr>
            <w:r>
              <w:rPr/>
              <w:t>A senior manager of the Company</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June 29,</w:t>
              <w:br/>
              <w:t>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50,641</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800" w:type="dxa"/>
            <w:tcBorders/>
            <w:shd w:fill="CCEEFF" w:val="clear"/>
            <w:vAlign w:val="center"/>
          </w:tcPr>
          <w:p>
            <w:pPr>
              <w:pStyle w:val="TableContents"/>
              <w:bidi w:val="0"/>
              <w:spacing w:before="0" w:after="283"/>
              <w:jc w:val="left"/>
              <w:rPr/>
            </w:pPr>
            <w:r>
              <w:rPr/>
              <w:t>●</w:t>
            </w:r>
            <w:r>
              <w:rPr/>
              <w:tab/>
              <w:t>The Options shall vest in four tranches equally on June 29, 2027, June 29, 2028, June 29, 2029 and June 29, 2030,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19.62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right"/>
              <w:rPr/>
            </w:pPr>
            <w:r>
              <w:rPr/>
              <w:t>50,641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shd w:fill="FFFFFF" w:val="clear"/>
            <w:vAlign w:val="center"/>
          </w:tcPr>
          <w:p>
            <w:pPr>
              <w:pStyle w:val="TableContents"/>
              <w:bidi w:val="0"/>
              <w:spacing w:before="0" w:after="283"/>
              <w:jc w:val="left"/>
              <w:rPr/>
            </w:pPr>
            <w:r>
              <w:rPr/>
              <w:t>21 other Option Grantees who are employees of the Group</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501,352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800" w:type="dxa"/>
            <w:tcBorders/>
            <w:shd w:fill="FFFFFF" w:val="clear"/>
            <w:vAlign w:val="center"/>
          </w:tcPr>
          <w:p>
            <w:pPr>
              <w:pStyle w:val="TableContents"/>
              <w:bidi w:val="0"/>
              <w:spacing w:before="0" w:after="283"/>
              <w:jc w:val="left"/>
              <w:rPr/>
            </w:pPr>
            <w:r>
              <w:rPr/>
              <w:t>●</w:t>
            </w:r>
            <w:r>
              <w:rPr/>
              <w:tab/>
              <w:t>The Options shall vest in four tranches equally on June 29, 2027, June 29, 2028, June 29, 2029 and June 29, 2030,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19.62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501,352</w:t>
            </w:r>
          </w:p>
        </w:tc>
        <w:tc>
          <w:tcPr>
            <w:tcW w:w="75" w:type="dxa"/>
            <w:tcBorders/>
            <w:shd w:fill="FFFFFF" w:val="cle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double" w:sz="10" w:space="0" w:color="000000"/>
            </w:tcBorders>
            <w:shd w:fill="CCEEFF" w:val="clear"/>
            <w:tcMar>
              <w:bottom w:w="28" w:type="dxa"/>
            </w:tcMar>
            <w:vAlign w:val="center"/>
          </w:tcPr>
          <w:p>
            <w:pPr>
              <w:pStyle w:val="TableContents"/>
              <w:bidi w:val="0"/>
              <w:spacing w:before="0" w:after="283"/>
              <w:jc w:val="right"/>
              <w:rPr/>
            </w:pPr>
            <w:r>
              <w:rPr/>
              <w:t>633,243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1,306,601</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805" w:type="dxa"/>
            <w:tcBorders>
              <w:bottom w:val="double" w:sz="10" w:space="0" w:color="000000"/>
            </w:tcBorders>
            <w:shd w:fill="CCEEFF" w:val="clear"/>
            <w:tcMar>
              <w:bottom w:w="28" w:type="dxa"/>
            </w:tcMar>
            <w:vAlign w:val="center"/>
          </w:tcPr>
          <w:p>
            <w:pPr>
              <w:pStyle w:val="TableContents"/>
              <w:bidi w:val="0"/>
              <w:spacing w:before="0" w:after="283"/>
              <w:jc w:val="right"/>
              <w:rPr/>
            </w:pPr>
            <w:r>
              <w:rPr/>
              <w:t>23,638</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1,916,206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The vesting dates of the options and the period during which the options can be exercised are set forth in the relevant grant letters in accordance with the Post IPO Share Option Scheme. The Board may determine the vesting criteria, conditions and the time schedule when the Options will vest and such criteria, conditions and time schedule shall be stated in the grant letters. The vesting of the Options granted will be subject to the grantee having obtained a satisfactory score as determined by the Board in their annual performance review. The periods over which the Options will vest shall not be less than 12 months. The vesting period of Options granted to employee participants may be shorter than 12 months under certain circumstances set out in the Post IPO Share Option Scheme.</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2.</w:t>
            </w:r>
          </w:p>
        </w:tc>
        <w:tc>
          <w:tcPr>
            <w:tcW w:w="10005" w:type="dxa"/>
            <w:tcBorders/>
            <w:vAlign w:val="center"/>
          </w:tcPr>
          <w:p>
            <w:pPr>
              <w:pStyle w:val="TableContents"/>
              <w:bidi w:val="0"/>
              <w:spacing w:before="0" w:after="283"/>
              <w:jc w:val="both"/>
              <w:rPr/>
            </w:pPr>
            <w:r>
              <w:rPr/>
              <w:t>All the options are exercisable upon vesting at an exercise price of HK$63.35, HK$51.58 or HK$33.62 per Share, as applicable. The exercise period is ten years from the date of grant of the relevant Options. No options were exercised during the Reporting Period.</w:t>
            </w:r>
          </w:p>
        </w:tc>
      </w:tr>
    </w:tbl>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The closing price of the Shares immediately before the date on which the Options were granted are HK$62.45, HK$52.75 and HK$30.48, respectively. The closing price of the Shares on the dates of grant are HK$63.35, HK$51.50 and HK$33.62, respectively.</w:t>
            </w:r>
          </w:p>
        </w:tc>
      </w:tr>
    </w:tbl>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4.</w:t>
            </w:r>
          </w:p>
        </w:tc>
        <w:tc>
          <w:tcPr>
            <w:tcW w:w="9995" w:type="dxa"/>
            <w:tcBorders/>
            <w:vAlign w:val="center"/>
          </w:tcPr>
          <w:p>
            <w:pPr>
              <w:pStyle w:val="TableContents"/>
              <w:bidi w:val="0"/>
              <w:spacing w:before="0" w:after="283"/>
              <w:jc w:val="both"/>
              <w:rPr/>
            </w:pPr>
            <w:r>
              <w:rPr/>
              <w:t>The fair value of the Options granted were estimated as at the grant date by using the binomial tree option pricing model. The following table lists the key inputs to the fair value model used:</w:t>
            </w:r>
          </w:p>
        </w:tc>
      </w:tr>
    </w:tbl>
    <w:p>
      <w:pPr>
        <w:pStyle w:val="TextBody"/>
        <w:bidi w:val="0"/>
        <w:spacing w:before="0" w:after="0"/>
        <w:ind w:left="907" w:right="0" w:hanging="0"/>
        <w:jc w:val="both"/>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3935"/>
        <w:gridCol w:w="60"/>
        <w:gridCol w:w="60"/>
        <w:gridCol w:w="560"/>
        <w:gridCol w:w="230"/>
      </w:tblGrid>
      <w:tr>
        <w:trPr/>
        <w:tc>
          <w:tcPr>
            <w:tcW w:w="3935" w:type="dxa"/>
            <w:tcBorders/>
            <w:vAlign w:val="center"/>
          </w:tcPr>
          <w:p>
            <w:pPr>
              <w:pStyle w:val="TableContents"/>
              <w:bidi w:val="0"/>
              <w:spacing w:before="0" w:after="283"/>
              <w:jc w:val="left"/>
              <w:rPr>
                <w:b/>
              </w:rPr>
            </w:pPr>
            <w:r>
              <w:rPr>
                <w:b/>
              </w:rPr>
              <w:t>For Options granted on April 20, 2026</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64.34</w:t>
            </w:r>
          </w:p>
        </w:tc>
        <w:tc>
          <w:tcPr>
            <w:tcW w:w="230" w:type="dxa"/>
            <w:tcBorders/>
            <w:shd w:fill="CCEEFF" w:val="clear"/>
            <w:vAlign w:val="center"/>
          </w:tcPr>
          <w:p>
            <w:pPr>
              <w:pStyle w:val="TableContents"/>
              <w:bidi w:val="0"/>
              <w:spacing w:before="0" w:after="283"/>
              <w:jc w:val="left"/>
              <w:rPr/>
            </w:pPr>
            <w:r>
              <w:rPr/>
              <w:t>%</w:t>
            </w:r>
          </w:p>
        </w:tc>
      </w:tr>
      <w:tr>
        <w:trPr/>
        <w:tc>
          <w:tcPr>
            <w:tcW w:w="393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2.91</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907" w:right="0" w:hanging="0"/>
        <w:jc w:val="both"/>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3890"/>
        <w:gridCol w:w="60"/>
        <w:gridCol w:w="60"/>
        <w:gridCol w:w="560"/>
        <w:gridCol w:w="230"/>
      </w:tblGrid>
      <w:tr>
        <w:trPr/>
        <w:tc>
          <w:tcPr>
            <w:tcW w:w="3890" w:type="dxa"/>
            <w:tcBorders/>
            <w:vAlign w:val="center"/>
          </w:tcPr>
          <w:p>
            <w:pPr>
              <w:pStyle w:val="TableContents"/>
              <w:bidi w:val="0"/>
              <w:spacing w:before="0" w:after="283"/>
              <w:jc w:val="left"/>
              <w:rPr>
                <w:b/>
              </w:rPr>
            </w:pPr>
            <w:r>
              <w:rPr>
                <w:b/>
              </w:rPr>
              <w:t>For Options granted on June 29, 2026</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64.06</w:t>
            </w:r>
          </w:p>
        </w:tc>
        <w:tc>
          <w:tcPr>
            <w:tcW w:w="23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3.25</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Price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price of a Share in respect of any particular Option shall be such price as our Board may in its absolute discretion determine at the time of grant of the relevant Option (and shall be stated in the letter containing the offer of the grant of the Option) but the subscription price shall not be less than whichever is the highest of (i) the nominal value of a Share; (ii) the closing price of a Share as stated in the Stock Exchange’s daily quotations sheet on the date of grant; and (iii) the average closing price of a Share as stated in the Stock Exchange’s daily quotations sheets for the 5 business days (as defined in the Listing Rules) immediately preceding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Options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 shall be exercised in whole or in part (but if in part only, in respect of a board lot or any integral multiple thereof) within the Option period in the manner as set forth in the Post IPO Share Option Scheme by the grantee (or his legal personal representative(s)) by giving notice in writing to the Company stating that the Option is thereby exercised and specifying the number of Shares in respect of which it is exercised. The exercise of any Option may be subject to a vesting schedule to be determined by the Board in its absolute discretion, which shall be specified in the offer letter. The exercise of any Option shall be subject to our Shareholders in general meeting approving any necessary increase in the authorised Share capital of our Company.</w:t>
      </w:r>
    </w:p>
    <w:p>
      <w:pPr>
        <w:pStyle w:val="TextBody"/>
        <w:bidi w:val="0"/>
        <w:spacing w:before="0" w:after="0"/>
        <w:ind w:left="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0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1865" w:type="dxa"/>
            <w:tcBorders/>
            <w:vAlign w:val="center"/>
          </w:tcPr>
          <w:p>
            <w:pPr>
              <w:pStyle w:val="TableContents"/>
              <w:bidi w:val="0"/>
              <w:spacing w:before="0" w:after="283"/>
              <w:jc w:val="both"/>
              <w:rPr/>
            </w:pPr>
            <w:r>
              <w:rPr/>
              <w:t>2018 RSU Scheme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2018 RSU Scheme is to incentivize the existing and incoming Directors, senior management and employees for their contribution to the Group, to attract, motivate and retain skilled and experienced personnel to strive for the future development and expansion of the Group by providing them with the opportunity to own equity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to receive RSUs under the 2018 RSU Scheme are existing or incoming employees, directors (whether executive or non-executive) or officers of our Company or any member of our Group. Our Board selects the eligible persons to receive RSUs under the 2018 RSU Scheme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Entitlement of Each Participant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approved by the Shareholders in a general meeting, the maximum number of Shares underlying the options granted to each eligible participant (including both exercised and outstanding options) in any 12-month period shall not exceed 1% of the Shares in issue for the time being.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pursuant to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RSUs that may be granted under the 2018 RSU Scheme in aggregate shall be 5,274,657 ordinary shares representing 1.41 % of the issued shares of the Company as at June 30, 2026 and 1.41% of the issued capital of the Company as at the date of this interim report. The number of RSUs available for grant under the overall limit of the 2018 RSU Scheme is 6,294 Shares as at the beginning of the Reporting Period and 6,294 Shares as at the end of the Reporting Period. The Company has decided to terminate the 2018 RSU Scheme, and it is expected that following the termination, the trustee of the 2018 RSU Scheme will sell the abovementioned unutilized Shares through on-market transactions and return the net proceeds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 of the 2018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RSU Scheme will be valid and effective for a period of ten years, commencing on July 6, 2018. The remaining life of the 2018 RSU Scheme is approximately one year and ten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of the 2018 RSU Scheme shall follow the instruction of the Board in respect of the exercise of voting rights in relation to the Shares underlying the RSUs of the 2018 RSU Scheme until the Shares underlying the RSUs of the 2018 RSU Scheme have been transferred outside of the trust to the personal accounts of the relevant participant(s). As at the date of this interim report, the Company has not instructed the trustee of the 2018 RSU Scheme to exercise the voting rights of the Shares underlying the RSUs of the 2018 RSU Scheme since the adoption of the 2018 RSU Scheme, nor will it instruct the trustee of the 2018 RSU Scheme to do so over the course of the remainder of the life of the 2018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of RSUs under the 2018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2018 RSU Scheme are set out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exercise price payable on the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no RSUs were granted under the 2018 RSU Scheme and no RSUs granted under the 2018 RSU Scheme were cancelled. There are no more outstanding RSUs granted under the 2018 RSU Scheme as at June 30,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a reasonable time after the vesting criteria, conditions and time schedule have been reached, fulfilled, satisfied or waived, the Board shall send the vesting notice to each of the relevant eligible participants.</w:t>
      </w:r>
    </w:p>
    <w:p>
      <w:pPr>
        <w:pStyle w:val="TextBody"/>
        <w:bidi w:val="0"/>
        <w:spacing w:before="0" w:after="0"/>
        <w:ind w:left="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0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1865" w:type="dxa"/>
            <w:tcBorders/>
            <w:vAlign w:val="center"/>
          </w:tcPr>
          <w:p>
            <w:pPr>
              <w:pStyle w:val="TableContents"/>
              <w:bidi w:val="0"/>
              <w:spacing w:before="0" w:after="283"/>
              <w:jc w:val="both"/>
              <w:rPr/>
            </w:pPr>
            <w:r>
              <w:rPr/>
              <w:t>2021 RSU Scheme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2021 RSU Scheme is to incentivize the existing and incoming Directors, senior management and employees for their contribution to the Group, and to attract, motivate and retain skilled and experienced personnel to strive for the future development and expansion of the Group by providing them with the opportunity to own equity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to receive RSUs under the 2021 RSU Scheme are existing or incoming employees, directors (whether executive or non-executive) or officers of our Company or any member of our Group or a service provider (as defined in the 2021 RSU Scheme). Our Board selects any eligible persons to receive RSUs under the 2021 RSU Scheme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pursuant to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RSUs that may be granted under the 2021 RSU Scheme in aggregate shall be 3,133,526 ordinary shares, representing 0.84% of the issued shares of the Company as at June 30, 2026 and 0.84% of the issued capital of the Company as at the date of this interim report. The number of RSUs available for grant under the overall limit of the 2021 RSU Scheme is 443,127 Shares as at the beginning of the Reporting Period and 2,384 Shares as at the end of the Reporting Period. The maximum number of shares of the Company which may be issued upon exercise of all outstanding RSUs granted and yet to be exercised under the Share Option Scheme and any other schemes of the Company shall not exceed 30% of the total number of shares of the Company in issue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total number of shares available for issue under the 2021 RSU Scheme is 2,384 Shares, representing approximately 0.001 % of the issued shares of the Company as at June 30, 2026 and 0.001% of the issued shares of the Company as at the date of this interim report.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Entitlement of Each Eligible Participant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issued and to be issued upon the exercise of RSUs granted to each eligible participants (including both exercised and outstanding RSUs) in any 12-month period shall not exceed 1% of the issued share capital of the Company. Any further grant of RSUs in excess of this limit is subject to shareholders’ approval in general meeting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 of the 2021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2021 RSU Scheme will be valid and effective for a period of ten years, commencing on February 2, 2021. As at June 30, 2026, the remaining life of the 2021 RSU Scheme was approximately four years and five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trust deed for the 2021 RSU Scheme entered into between the Company and the Trustee, the Trustee shall not exercise the voting rights attached to the Shares held on trust by it.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of RSUs under the 2021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granted 440,743 RSUs, representing 440,743 Shares, under the 2021 RSU Scheme to 453 Selected Persons of the 2021 RSU Scheme, who are employees of the Group. The abovementioned RSUs shall vest in accordance with the vesting criteria, conditions and time schedule as determined by the Board in its sole and absolute discretion with reference to, among other things, the location at which the abovementioned Selected Persons are based and the commencement date or duration of their employment. The Board has determined that such RSUs shall vest on the date of grant. Based on the closing price of HK$33.62 as quoted of the Stock Exchange on June 29, 2026 (being the date of the abovementioned grant of RSUs), the aggregate market value of the underlying Shares in relation to such RSUs amounts to HK$14,817,779.66. The closing price of the Shares on June 26, 2026, being the trading day immediately before the grant date, is HK$30.48. The grantees are not required to pay any purchase price (as defined under Rule 17.01A of the Listing Rules) for the RSUs granted during the Reporting Period. The vesting of the RSUs granted during the Reporting Period will be subject to the grantees having obtained a satisfactory score as determined by the Board in their annual performance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abovementioned RSUs granted under the 2021 RSU Scheme would be satisfied by the allotment and issuance of Shares to the trustee of the 2021 RSU Scheme to be held by the trustee for such purpose under the scheme mandate limit granted to the Board by the Shareholders at the annual general meeting of the Company held on May 19, 2025 to grant share options, RSUs and any other share options and/or awards over new Shares of the Company under all share schemes of the Company up to the limit of 10% of the then total number of issued Shares (excluding treasury Shares), being the mandate currently available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2021 RSU Scheme are set out in the relevant announcements of the Company dated February 2, 2021 and May 29, 2023, June 27, 2025, June 29, 2026 and July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exercise price payable on the RSUs. No RSUs were granted to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are details of the movements of the outstanding RSUs granted under the 2021 RSU Scheme as at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8"/>
        <w:gridCol w:w="60"/>
        <w:gridCol w:w="1356"/>
        <w:gridCol w:w="60"/>
        <w:gridCol w:w="316"/>
        <w:gridCol w:w="741"/>
        <w:gridCol w:w="60"/>
        <w:gridCol w:w="60"/>
        <w:gridCol w:w="61"/>
        <w:gridCol w:w="817"/>
        <w:gridCol w:w="60"/>
        <w:gridCol w:w="60"/>
        <w:gridCol w:w="783"/>
        <w:gridCol w:w="60"/>
        <w:gridCol w:w="407"/>
        <w:gridCol w:w="581"/>
        <w:gridCol w:w="60"/>
        <w:gridCol w:w="60"/>
        <w:gridCol w:w="61"/>
        <w:gridCol w:w="817"/>
        <w:gridCol w:w="60"/>
        <w:gridCol w:w="60"/>
        <w:gridCol w:w="263"/>
        <w:gridCol w:w="615"/>
        <w:gridCol w:w="60"/>
        <w:gridCol w:w="60"/>
        <w:gridCol w:w="263"/>
        <w:gridCol w:w="615"/>
        <w:gridCol w:w="60"/>
        <w:gridCol w:w="60"/>
        <w:gridCol w:w="316"/>
        <w:gridCol w:w="741"/>
        <w:gridCol w:w="84"/>
      </w:tblGrid>
      <w:tr>
        <w:trPr/>
        <w:tc>
          <w:tcPr>
            <w:tcW w:w="4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6"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3"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RSUs granted</w:t>
            </w:r>
          </w:p>
        </w:tc>
        <w:tc>
          <w:tcPr>
            <w:tcW w:w="60" w:type="dxa"/>
            <w:tcBorders/>
            <w:vAlign w:val="center"/>
          </w:tcPr>
          <w:p>
            <w:pPr>
              <w:pStyle w:val="TableContents"/>
              <w:bidi w:val="0"/>
              <w:spacing w:before="0" w:after="283"/>
              <w:jc w:val="center"/>
              <w:rPr/>
            </w:pPr>
            <w:r>
              <w:rPr/>
              <w:t> </w:t>
            </w:r>
          </w:p>
        </w:tc>
        <w:tc>
          <w:tcPr>
            <w:tcW w:w="98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RSUs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7"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center"/>
              <w:rPr/>
            </w:pPr>
            <w:r>
              <w:rPr/>
              <w:t> </w:t>
            </w:r>
          </w:p>
        </w:tc>
      </w:tr>
      <w:tr>
        <w:trPr/>
        <w:tc>
          <w:tcPr>
            <w:tcW w:w="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vAlign w:val="center"/>
          </w:tcPr>
          <w:p>
            <w:pPr>
              <w:pStyle w:val="TableContents"/>
              <w:bidi w:val="0"/>
              <w:spacing w:before="0" w:after="283"/>
              <w:jc w:val="right"/>
              <w:rPr/>
            </w:pPr>
            <w:r>
              <w:rPr/>
              <w:t> </w:t>
            </w:r>
          </w:p>
        </w:tc>
        <w:tc>
          <w:tcPr>
            <w:tcW w:w="84" w:type="dxa"/>
            <w:tcBorders/>
            <w:vAlign w:val="center"/>
          </w:tcPr>
          <w:p>
            <w:pPr>
              <w:pStyle w:val="TableContents"/>
              <w:bidi w:val="0"/>
              <w:spacing w:before="0" w:after="283"/>
              <w:jc w:val="left"/>
              <w:rPr/>
            </w:pPr>
            <w:r>
              <w:rPr/>
              <w:t> </w:t>
            </w:r>
          </w:p>
        </w:tc>
      </w:tr>
      <w:tr>
        <w:trPr/>
        <w:tc>
          <w:tcPr>
            <w:tcW w:w="468" w:type="dxa"/>
            <w:tcBorders/>
            <w:shd w:fill="CCEEFF" w:val="clear"/>
            <w:vAlign w:val="center"/>
          </w:tcPr>
          <w:p>
            <w:pPr>
              <w:pStyle w:val="TableContents"/>
              <w:bidi w:val="0"/>
              <w:spacing w:before="0" w:after="283"/>
              <w:jc w:val="left"/>
              <w:rPr/>
            </w:pPr>
            <w:r>
              <w:rPr/>
              <w:t>453 staff</w:t>
            </w:r>
          </w:p>
        </w:tc>
        <w:tc>
          <w:tcPr>
            <w:tcW w:w="60"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right"/>
              <w:rPr/>
            </w:pPr>
            <w:r>
              <w:rPr/>
              <w:t> </w:t>
            </w:r>
          </w:p>
        </w:tc>
        <w:tc>
          <w:tcPr>
            <w:tcW w:w="74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7" w:type="dxa"/>
            <w:tcBorders/>
            <w:shd w:fill="CCEEFF" w:val="clear"/>
            <w:vAlign w:val="center"/>
          </w:tcPr>
          <w:p>
            <w:pPr>
              <w:pStyle w:val="TableContents"/>
              <w:bidi w:val="0"/>
              <w:spacing w:before="0" w:after="283"/>
              <w:jc w:val="right"/>
              <w:rPr/>
            </w:pPr>
            <w:r>
              <w:rPr/>
              <w:t>440,743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83"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right"/>
              <w:rPr/>
            </w:pPr>
            <w:r>
              <w:rPr/>
              <w:t> </w:t>
            </w:r>
          </w:p>
        </w:tc>
        <w:tc>
          <w:tcPr>
            <w:tcW w:w="407" w:type="dxa"/>
            <w:tcBorders/>
            <w:shd w:fill="CCEEFF" w:val="clear"/>
            <w:vAlign w:val="center"/>
          </w:tcPr>
          <w:p>
            <w:pPr>
              <w:pStyle w:val="TableContents"/>
              <w:bidi w:val="0"/>
              <w:spacing w:before="0" w:after="283"/>
              <w:jc w:val="left"/>
              <w:rPr/>
            </w:pPr>
            <w:r>
              <w:rPr/>
              <w:t>HK$</w:t>
            </w:r>
          </w:p>
        </w:tc>
        <w:tc>
          <w:tcPr>
            <w:tcW w:w="581"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7" w:type="dxa"/>
            <w:tcBorders/>
            <w:shd w:fill="CCEEFF" w:val="clear"/>
            <w:vAlign w:val="center"/>
          </w:tcPr>
          <w:p>
            <w:pPr>
              <w:pStyle w:val="TableContents"/>
              <w:bidi w:val="0"/>
              <w:spacing w:before="0" w:after="283"/>
              <w:jc w:val="right"/>
              <w:rPr/>
            </w:pPr>
            <w:r>
              <w:rPr/>
              <w:t>440,743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right"/>
              <w:rPr/>
            </w:pPr>
            <w:r>
              <w:rPr/>
              <w:t> </w:t>
            </w:r>
          </w:p>
        </w:tc>
        <w:tc>
          <w:tcPr>
            <w:tcW w:w="6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right"/>
              <w:rPr/>
            </w:pPr>
            <w:r>
              <w:rPr/>
              <w:t> </w:t>
            </w:r>
          </w:p>
        </w:tc>
        <w:tc>
          <w:tcPr>
            <w:tcW w:w="6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right"/>
              <w:rPr/>
            </w:pPr>
            <w:r>
              <w:rPr/>
              <w:t> </w:t>
            </w:r>
          </w:p>
        </w:tc>
        <w:tc>
          <w:tcPr>
            <w:tcW w:w="741"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The weighted average closing price of the Shares immediately before the dates on which all the RSUs granted under the 2021 RSU Scheme through the life of the 2021 RSU Scheme were vested is HK$30.48. The weighted average closing price of the Shares immediately before the dates on which the RSUs granted under the 2021 RSU Scheme during the Reporting Period were vested is HK$30.48.</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The Board may determine the vesting criteria, conditions and the time schedule when the RSUs will vest and such criteria, conditions and time schedule shall be stated in the grant letter. The periods over which the awards will vest shall not be less than 12 months. The vesting period of awards granted to employee participants may be shorter than 12 months under certain circumstances set out in the 2021 RSU Scheme.</w:t>
            </w:r>
          </w:p>
        </w:tc>
      </w:tr>
    </w:tbl>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3.</w:t>
            </w:r>
          </w:p>
        </w:tc>
        <w:tc>
          <w:tcPr>
            <w:tcW w:w="9983" w:type="dxa"/>
            <w:tcBorders/>
            <w:vAlign w:val="center"/>
          </w:tcPr>
          <w:p>
            <w:pPr>
              <w:pStyle w:val="TableContents"/>
              <w:bidi w:val="0"/>
              <w:spacing w:before="0" w:after="283"/>
              <w:jc w:val="both"/>
              <w:rPr/>
            </w:pPr>
            <w:r>
              <w:rPr/>
              <w:t>The fair value of the RSUs granted during the Reporting Period was calculated based on the closing price of the Shares on the date of grant.</w:t>
            </w:r>
          </w:p>
        </w:tc>
      </w:tr>
    </w:tbl>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4.</w:t>
            </w:r>
          </w:p>
        </w:tc>
        <w:tc>
          <w:tcPr>
            <w:tcW w:w="9986" w:type="dxa"/>
            <w:tcBorders/>
            <w:vAlign w:val="center"/>
          </w:tcPr>
          <w:p>
            <w:pPr>
              <w:pStyle w:val="TableContents"/>
              <w:bidi w:val="0"/>
              <w:spacing w:before="0" w:after="283"/>
              <w:jc w:val="both"/>
              <w:rPr/>
            </w:pPr>
            <w:r>
              <w:rPr/>
              <w:t>During the Reporting Period, none of the RSUs have been vested to the five highest paid individuals of the Company under the 2021 RSU Scheme.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a reasonable time after the vesting criteria, conditions and time schedule have been reached, fulfilled, satisfied or waived, the Board shall send the vesting notice to each of the relevant 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970"/>
        <w:gridCol w:w="9051"/>
      </w:tblGrid>
      <w:tr>
        <w:trPr/>
        <w:tc>
          <w:tcPr>
            <w:tcW w:w="1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pPr>
            <w:r>
              <w:rPr/>
              <w:t>5.</w:t>
            </w:r>
          </w:p>
        </w:tc>
        <w:tc>
          <w:tcPr>
            <w:tcW w:w="9051" w:type="dxa"/>
            <w:tcBorders/>
            <w:vAlign w:val="center"/>
          </w:tcPr>
          <w:p>
            <w:pPr>
              <w:pStyle w:val="TableContents"/>
              <w:bidi w:val="0"/>
              <w:spacing w:before="0" w:after="283"/>
              <w:jc w:val="both"/>
              <w:rPr/>
            </w:pPr>
            <w:r>
              <w:rPr/>
              <w:t>2022 RSU Scheme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2022 RSU Scheme is to incentivize the existing and incoming Directors, senior management and employees for their contribution to the Group, and to attract, motivate and retain skilled and experienced personnel to strive for the future development and expansion of the Group by providing them with the opportunity to own equity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Eligible Participants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eligible to receive RSUs under the 2022 RSU Scheme are existing or incoming employees, directors (whether executive or non-executive) or officers of our Company or any member of our Group or a service provider (as defined in the 2022 RSU Scheme). Our Board selects any eligible persons to receive RSUs under the 2022 RSU Scheme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pursuant to RSUs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RSUs that may be granted under the 2022 RSU Scheme in aggregate (excluding RSUs that have lapsed or been cancelled in accordance with the rules of the 2022 RSU Scheme) shall be 11,072,695 ordinary shares, representing 2.96% of the issued shares of the Company as at June 30, 2026 and 2.96% of the issued capital of the Company as at the date of this interim report. The numbers of RSUs available for grant under the overall limit of the 2022 RSU Scheme are 5,582,518 Shares as at the beginning of the Reporting Period and 1,722,287 Shares as at the end of the Reporting Period. The maximum number of shares of the Company which may be issued upon exercise of all outstanding RSUs granted and yet to be exercised under the Share Option Scheme and any other schemes of the Company shall not exceed 30% of the total number of shares of the Company in issue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the total number of shares available for issue under the 2022 RSU Scheme is 1,722,287 Shares, representing approximately 0.46 % of the issued shares of the Company as at June 30, 2026 and 0.46% of the issued shares of the Company as at the date of this interim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Entitlement of Each Eligible Participant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number of shares issued and to be issued upon the exercise of RSUs granted to each Eligible Participants (including both exercised and outstanding RSUs) in any 12-month period shall not exceed 1% of the issued share capital of the Company. Any further grant of RSUs in excess of this limit is subject to shareholders’ approval in general meeting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Vesting Period of RSUs Granted under the 2022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the vesting criteria, conditions and the time schedule when the RSUs will vest and such criteria, conditions and time schedule shall be stated in the grant letter. The vesting period of the RSUs granted under the 2022 RSU Scheme during the Reporting Period ranges from the date of grant to approximately 49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a reasonable time after the vesting criteria, conditions and time schedule have been reached, fulfilled, satisfied or waived, the Board shall send the vesting notice to each of the relevant Eligible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Life of the 2022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2022 RSU Scheme will be valid and effective for a period of ten years, commencing on June 23, 2022. As at June 30, 2026, the remaining life of the RSU Scheme was approximately five years and ten months.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trust deed for the 2022 RSU Scheme entered into between the Company and the Trustee, the Trustee shall not exercise the voting rights attached to the Shares held on trust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Grant of RSUs under the 2022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2026, the Company granted 696,263 RSUs, representing 696,263 Shares, to three Selected Persons (the “</w:t>
      </w:r>
      <w:r>
        <w:rPr>
          <w:rFonts w:ascii="Times New Roman;Times;Serif" w:hAnsi="Times New Roman;Times;Serif"/>
          <w:b/>
          <w:i w:val="false"/>
          <w:caps w:val="false"/>
          <w:smallCaps w:val="false"/>
          <w:sz w:val="20"/>
        </w:rPr>
        <w:t>2022 First Further Grant</w:t>
      </w:r>
      <w:r>
        <w:rPr>
          <w:rFonts w:ascii="Times New Roman;Times;Serif" w:hAnsi="Times New Roman;Times;Serif"/>
          <w:b w:val="false"/>
          <w:i w:val="false"/>
          <w:caps w:val="false"/>
          <w:smallCaps w:val="false"/>
          <w:sz w:val="20"/>
        </w:rPr>
        <w:t>”), among which 393,770 RSUs were granted to Dr. Yang Dajun, the executive Director and the chief executive officer of the Company, 283,909 RSUs were granted to Dr. Zhai Yifan, the chief medical officer and a substantial shareholder of the Company, and 18,584 RSUs were granted to a senior manager of the Company. The grants to Dr. Yang and Dr. Zhai were subsequently approved by the Independent Shareholders at the annual general meeting of the Company held on May 20, 2026. On June 29, 2026, the Company further granted 3,223,685 RSUs, representing 3,223,685 Shares, under the 2022 RSU Scheme to 251 Selected Persons (the “</w:t>
      </w:r>
      <w:r>
        <w:rPr>
          <w:rFonts w:ascii="Times New Roman;Times;Serif" w:hAnsi="Times New Roman;Times;Serif"/>
          <w:b/>
          <w:i w:val="false"/>
          <w:caps w:val="false"/>
          <w:smallCaps w:val="false"/>
          <w:sz w:val="20"/>
        </w:rPr>
        <w:t>2022 Second Further Grant</w:t>
      </w:r>
      <w:r>
        <w:rPr>
          <w:rFonts w:ascii="Times New Roman;Times;Serif" w:hAnsi="Times New Roman;Times;Serif"/>
          <w:b w:val="false"/>
          <w:i w:val="false"/>
          <w:caps w:val="false"/>
          <w:smallCaps w:val="false"/>
          <w:sz w:val="20"/>
        </w:rPr>
        <w:t>”), including eight Directors, a senior manager of the Company, 241 other employees of the Group and one Service Provider. The abovementioned RSUs shall vest in accordance with the vesting criteria, conditions and time schedule as determined by the Board in its sole and absolute discretion with reference to, among other things, the location at which the abovementioned Selected Persons are based and the commencement date or duration of their employment or service. The Board has determined that (i) of the RSUs granted under the 2022 First Further Grant, 298,195 RSUs and 214,999 RSUs granted to Dr. Yang and Dr. Zhai, respectively, shall vest in four equal tranches on May 21, 2027, May 21, 2028, May 21, 2029 and May 21, 2030, respectively, and 95,575 RSUs, 68,910 RSUs and 18,584 RSUs granted to Dr. Yang, Dr. Zhai and the senior manager, respectively, shall vest on May 21, 2026; and (ii) of the RSUs granted under the 2022 Second Further Grant, 138,052 RSUs granted to eight Directors shall vest in three equal tranches on June 29, 2027, June 29, 2028 and June 29, 2029, respectively, 905,103 RSUs granted to 145 employees of the Group shall vest on June 29, 2026, and 2,180,530 RSUs granted to the other employees of the Group, including the senior manager, and the Service Provider shall vest in four equal tranches on June 29, 2027, June 29, 2028, June 29, 2029 and June 29, 2030, respectively. Based on the respective closing prices of HK$51.50 and HK$33.62 as quoted on the Stock Exchange on April 20, 2026 and June 29, 2026, being the respective dates of grant, the aggregate market values of the underlying Shares in relation to such RSUs amounted to HK$35,857,544.50 and HK$108,380,289.70, respectively. The closing prices of the Shares on April 17, 2026 and June 26, 2026, being the respective trading days immediately before the dates of grant, were HK$52.75 and HK$30.48, respectively. The grantees are not required to pay any purchase price (as defined under Rule 17.01A of the Listing Rules) for the RSUs granted during the Reporting Period. The vesting of the RSUs granted during the Reporting Period will be subject to the grantees having obtained a satisfactory score as determined by the Board in their annual performance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abovementioned RSUs granted under the 2022 RSU Scheme are satisfied by the allotment and issuance of Shares to the trustee of the 2022 RSU Scheme (the “</w:t>
      </w:r>
      <w:r>
        <w:rPr>
          <w:rFonts w:ascii="Times New Roman;Times;Serif" w:hAnsi="Times New Roman;Times;Serif"/>
          <w:b/>
          <w:i w:val="false"/>
          <w:caps w:val="false"/>
          <w:smallCaps w:val="false"/>
          <w:sz w:val="20"/>
        </w:rPr>
        <w:t>2022 Trustee</w:t>
      </w:r>
      <w:r>
        <w:rPr>
          <w:rFonts w:ascii="Times New Roman;Times;Serif" w:hAnsi="Times New Roman;Times;Serif"/>
          <w:b w:val="false"/>
          <w:i w:val="false"/>
          <w:caps w:val="false"/>
          <w:smallCaps w:val="false"/>
          <w:sz w:val="20"/>
        </w:rPr>
        <w:t>”) to be held by the 2022 Trustee for such purpose under the Scheme Mandate Limit and, in respect of the RSUs granted to the Service Provider, the Service Provider Sublimit, granted to the Board by the Shareholders at the annual general meeting of the Company held on May 19, 2025, to grant share options, RSUs and any other share options and/or awards over new Shares of the Company under all share schemes of the Company up to the limit of 10% and, in respect of the Service Provider Sublimit, 1%, of the then total number of issued Shares (excluding treasury Shares), being the mandate currently available to the Company.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2022 RSU Scheme are set out in the relevant announcements of the Company dated June 23, 2022, July 14, 2022, October 21, 2022, October 25, 2022, October 26, 2022, October 27, 2022, October 28, 2022, October 31, 2022, May 8, 2023, October 24, 2024, June 27, 2025, November 27, 2025, December 30, 2025, April 20, 2026, May 20, 2026, June 29, 2026 and July 13,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exercise price payable on the RSUs. During the Reporting Period, 10,000 RSUs were granted to one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out below are details of the movements of the outstanding RSUs granted under the 2022 RSU Scheme as at June 30, 2026:</w:t>
      </w:r>
    </w:p>
    <w:p>
      <w:pPr>
        <w:pStyle w:val="TextBody"/>
        <w:bidi w:val="0"/>
        <w:spacing w:before="0" w:after="0"/>
        <w:ind w:left="0" w:right="0" w:hanging="0"/>
        <w:jc w:val="both"/>
        <w:rPr>
          <w:caps w:val="false"/>
          <w:smallCaps w:val="false"/>
        </w:rPr>
      </w:pPr>
      <w:r>
        <w:rPr>
          <w:caps w:val="false"/>
          <w:smallCaps w:val="false"/>
        </w:rPr>
        <w:t> </w:t>
      </w:r>
    </w:p>
    <w:tbl>
      <w:tblPr>
        <w:tblW w:w="11020" w:type="dxa"/>
        <w:jc w:val="left"/>
        <w:tblInd w:w="0" w:type="dxa"/>
        <w:tblLayout w:type="fixed"/>
        <w:tblCellMar>
          <w:top w:w="0" w:type="dxa"/>
          <w:left w:w="0" w:type="dxa"/>
          <w:bottom w:w="0" w:type="dxa"/>
          <w:right w:w="0" w:type="dxa"/>
        </w:tblCellMar>
      </w:tblPr>
      <w:tblGrid>
        <w:gridCol w:w="1085"/>
        <w:gridCol w:w="60"/>
        <w:gridCol w:w="1385"/>
        <w:gridCol w:w="60"/>
        <w:gridCol w:w="73"/>
        <w:gridCol w:w="982"/>
        <w:gridCol w:w="60"/>
        <w:gridCol w:w="60"/>
        <w:gridCol w:w="61"/>
        <w:gridCol w:w="814"/>
        <w:gridCol w:w="60"/>
        <w:gridCol w:w="60"/>
        <w:gridCol w:w="1025"/>
        <w:gridCol w:w="60"/>
        <w:gridCol w:w="380"/>
        <w:gridCol w:w="560"/>
        <w:gridCol w:w="60"/>
        <w:gridCol w:w="60"/>
        <w:gridCol w:w="70"/>
        <w:gridCol w:w="805"/>
        <w:gridCol w:w="60"/>
        <w:gridCol w:w="60"/>
        <w:gridCol w:w="262"/>
        <w:gridCol w:w="613"/>
        <w:gridCol w:w="60"/>
        <w:gridCol w:w="60"/>
        <w:gridCol w:w="262"/>
        <w:gridCol w:w="613"/>
        <w:gridCol w:w="60"/>
        <w:gridCol w:w="60"/>
        <w:gridCol w:w="73"/>
        <w:gridCol w:w="982"/>
        <w:gridCol w:w="75"/>
      </w:tblGrid>
      <w:tr>
        <w:trPr/>
        <w:tc>
          <w:tcPr>
            <w:tcW w:w="1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RSUs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1020" w:type="dxa"/>
            <w:gridSpan w:val="33"/>
            <w:tcBorders/>
            <w:vAlign w:val="center"/>
          </w:tcPr>
          <w:p>
            <w:pPr>
              <w:pStyle w:val="TableContents"/>
              <w:bidi w:val="0"/>
              <w:spacing w:before="0" w:after="283"/>
              <w:jc w:val="left"/>
              <w:rPr>
                <w:b/>
              </w:rPr>
            </w:pPr>
            <w:r>
              <w:rPr>
                <w:b/>
              </w:rPr>
              <w:t>Directors of the Company</w:t>
            </w:r>
          </w:p>
        </w:tc>
      </w:tr>
      <w:tr>
        <w:trPr/>
        <w:tc>
          <w:tcPr>
            <w:tcW w:w="1085" w:type="dxa"/>
            <w:tcBorders/>
            <w:shd w:fill="CCEEFF" w:val="clear"/>
            <w:vAlign w:val="center"/>
          </w:tcPr>
          <w:p>
            <w:pPr>
              <w:pStyle w:val="TableContents"/>
              <w:bidi w:val="0"/>
              <w:spacing w:before="0" w:after="283"/>
              <w:jc w:val="left"/>
              <w:rPr/>
            </w:pPr>
            <w:r>
              <w:rPr/>
              <w:t>Dr. Yang</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w:t>
              <w:br/>
              <w:t>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143,363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143,363</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April 20,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393,770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298,195 RSUs shall vest in four tranches equally on May 21, 2027, May 21, 2028, May 21, 2029 and May 21, 2030,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51.50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95,575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298,195</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95,575 RSUs shall vest on May 21, 2026.</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Dr. Wang</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27,965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27,965</w:t>
            </w:r>
          </w:p>
        </w:tc>
        <w:tc>
          <w:tcPr>
            <w:tcW w:w="7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15,929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33.62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15,929</w:t>
            </w:r>
          </w:p>
        </w:tc>
        <w:tc>
          <w:tcPr>
            <w:tcW w:w="75" w:type="dxa"/>
            <w:tcBorders/>
            <w:shd w:fill="FFFF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Dr. Lu</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27,965</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15,929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15,929</w:t>
            </w:r>
          </w:p>
        </w:tc>
        <w:tc>
          <w:tcPr>
            <w:tcW w:w="75" w:type="dxa"/>
            <w:tcBorders/>
            <w:shd w:fill="CCEE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Mr. Ye Changqing</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28,850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28,850</w:t>
            </w:r>
          </w:p>
        </w:tc>
        <w:tc>
          <w:tcPr>
            <w:tcW w:w="75"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17,699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33.62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17,699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185" w:type="dxa"/>
        <w:jc w:val="left"/>
        <w:tblInd w:w="0" w:type="dxa"/>
        <w:tblLayout w:type="fixed"/>
        <w:tblCellMar>
          <w:top w:w="0" w:type="dxa"/>
          <w:left w:w="0" w:type="dxa"/>
          <w:bottom w:w="0" w:type="dxa"/>
          <w:right w:w="0" w:type="dxa"/>
        </w:tblCellMar>
      </w:tblPr>
      <w:tblGrid>
        <w:gridCol w:w="1250"/>
        <w:gridCol w:w="60"/>
        <w:gridCol w:w="1385"/>
        <w:gridCol w:w="60"/>
        <w:gridCol w:w="85"/>
        <w:gridCol w:w="970"/>
        <w:gridCol w:w="60"/>
        <w:gridCol w:w="60"/>
        <w:gridCol w:w="70"/>
        <w:gridCol w:w="805"/>
        <w:gridCol w:w="60"/>
        <w:gridCol w:w="60"/>
        <w:gridCol w:w="1025"/>
        <w:gridCol w:w="60"/>
        <w:gridCol w:w="380"/>
        <w:gridCol w:w="560"/>
        <w:gridCol w:w="60"/>
        <w:gridCol w:w="60"/>
        <w:gridCol w:w="262"/>
        <w:gridCol w:w="613"/>
        <w:gridCol w:w="60"/>
        <w:gridCol w:w="60"/>
        <w:gridCol w:w="262"/>
        <w:gridCol w:w="613"/>
        <w:gridCol w:w="60"/>
        <w:gridCol w:w="60"/>
        <w:gridCol w:w="262"/>
        <w:gridCol w:w="613"/>
        <w:gridCol w:w="60"/>
        <w:gridCol w:w="60"/>
        <w:gridCol w:w="85"/>
        <w:gridCol w:w="970"/>
        <w:gridCol w:w="75"/>
      </w:tblGrid>
      <w:tr>
        <w:trPr/>
        <w:tc>
          <w:tcPr>
            <w:tcW w:w="12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RSUs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Mr. Ren Wei</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28,850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28,850</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17,699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17,699</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Dr. Sidransky</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28,850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28,850</w:t>
            </w:r>
          </w:p>
        </w:tc>
        <w:tc>
          <w:tcPr>
            <w:tcW w:w="75" w:type="dxa"/>
            <w:tcBorders/>
            <w:shd w:fill="FFFF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19,469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33.62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19,469</w:t>
            </w:r>
          </w:p>
        </w:tc>
        <w:tc>
          <w:tcPr>
            <w:tcW w:w="75" w:type="dxa"/>
            <w:tcBorders/>
            <w:shd w:fill="FFFF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xml:space="preserve">Ms. Marina S. </w:t>
              <w:br/>
              <w:t> Bozilenko</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27,965</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16,814</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16,814</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Dr. Debra Yu</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w:t>
              <w:br/>
              <w:t>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27,965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27,965</w:t>
            </w:r>
          </w:p>
        </w:tc>
        <w:tc>
          <w:tcPr>
            <w:tcW w:w="75" w:type="dxa"/>
            <w:tcBorders/>
            <w:shd w:fill="FFFFFF" w:val="clear"/>
            <w:vAlign w:val="center"/>
          </w:tcPr>
          <w:p>
            <w:pPr>
              <w:pStyle w:val="TableContents"/>
              <w:bidi w:val="0"/>
              <w:spacing w:before="0" w:after="283"/>
              <w:jc w:val="left"/>
              <w:rPr/>
            </w:pPr>
            <w:r>
              <w:rPr/>
              <w:t> </w:t>
            </w:r>
          </w:p>
        </w:tc>
      </w:tr>
      <w:tr>
        <w:trPr/>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16,814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33.62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right"/>
              <w:rPr/>
            </w:pPr>
            <w:r>
              <w:rPr/>
              <w:t> </w:t>
            </w:r>
          </w:p>
        </w:tc>
        <w:tc>
          <w:tcPr>
            <w:tcW w:w="970" w:type="dxa"/>
            <w:tcBorders/>
            <w:shd w:fill="FFFFFF" w:val="clear"/>
            <w:vAlign w:val="center"/>
          </w:tcPr>
          <w:p>
            <w:pPr>
              <w:pStyle w:val="TableContents"/>
              <w:bidi w:val="0"/>
              <w:spacing w:before="0" w:after="283"/>
              <w:jc w:val="right"/>
              <w:rPr/>
            </w:pPr>
            <w:r>
              <w:rPr/>
              <w:t>16,814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Dr. Marc E. Lippman, MD</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27,965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November 26, 2026, November 26, 2027 and November 26, 2028,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27,965</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17,699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three equal tranches on June 29, 2027, June 29, 2028 and June 29,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right"/>
              <w:rPr/>
            </w:pPr>
            <w:r>
              <w:rPr/>
              <w:t> </w:t>
            </w:r>
          </w:p>
        </w:tc>
        <w:tc>
          <w:tcPr>
            <w:tcW w:w="970" w:type="dxa"/>
            <w:tcBorders/>
            <w:shd w:fill="CCEEFF" w:val="clear"/>
            <w:vAlign w:val="center"/>
          </w:tcPr>
          <w:p>
            <w:pPr>
              <w:pStyle w:val="TableContents"/>
              <w:bidi w:val="0"/>
              <w:spacing w:before="0" w:after="283"/>
              <w:jc w:val="right"/>
              <w:rPr/>
            </w:pPr>
            <w:r>
              <w:rPr/>
              <w:t>17,699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
        <w:gridCol w:w="60"/>
        <w:gridCol w:w="1034"/>
        <w:gridCol w:w="60"/>
        <w:gridCol w:w="85"/>
        <w:gridCol w:w="970"/>
        <w:gridCol w:w="60"/>
        <w:gridCol w:w="60"/>
        <w:gridCol w:w="61"/>
        <w:gridCol w:w="814"/>
        <w:gridCol w:w="60"/>
        <w:gridCol w:w="60"/>
        <w:gridCol w:w="1163"/>
        <w:gridCol w:w="60"/>
        <w:gridCol w:w="383"/>
        <w:gridCol w:w="562"/>
        <w:gridCol w:w="60"/>
        <w:gridCol w:w="60"/>
        <w:gridCol w:w="70"/>
        <w:gridCol w:w="805"/>
        <w:gridCol w:w="60"/>
        <w:gridCol w:w="60"/>
        <w:gridCol w:w="262"/>
        <w:gridCol w:w="613"/>
        <w:gridCol w:w="60"/>
        <w:gridCol w:w="60"/>
        <w:gridCol w:w="262"/>
        <w:gridCol w:w="613"/>
        <w:gridCol w:w="60"/>
        <w:gridCol w:w="60"/>
        <w:gridCol w:w="73"/>
        <w:gridCol w:w="982"/>
        <w:gridCol w:w="80"/>
      </w:tblGrid>
      <w:tr>
        <w:trPr/>
        <w:tc>
          <w:tcPr>
            <w:tcW w:w="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4"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3"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RSUs granted</w:t>
            </w:r>
          </w:p>
        </w:tc>
        <w:tc>
          <w:tcPr>
            <w:tcW w:w="60" w:type="dxa"/>
            <w:tcBorders/>
            <w:vAlign w:val="center"/>
          </w:tcPr>
          <w:p>
            <w:pPr>
              <w:pStyle w:val="TableContents"/>
              <w:bidi w:val="0"/>
              <w:spacing w:before="0" w:after="283"/>
              <w:jc w:val="center"/>
              <w:rPr/>
            </w:pPr>
            <w:r>
              <w:rPr/>
              <w:t> </w:t>
            </w:r>
          </w:p>
        </w:tc>
        <w:tc>
          <w:tcPr>
            <w:tcW w:w="94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center"/>
              <w:rPr/>
            </w:pPr>
            <w:r>
              <w:rPr/>
              <w:t> </w:t>
            </w:r>
          </w:p>
        </w:tc>
      </w:tr>
      <w:tr>
        <w:trPr/>
        <w:tc>
          <w:tcPr>
            <w:tcW w:w="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10205" w:type="dxa"/>
            <w:gridSpan w:val="33"/>
            <w:tcBorders/>
            <w:vAlign w:val="center"/>
          </w:tcPr>
          <w:p>
            <w:pPr>
              <w:pStyle w:val="TableContents"/>
              <w:bidi w:val="0"/>
              <w:spacing w:before="0" w:after="283"/>
              <w:jc w:val="left"/>
              <w:rPr>
                <w:b/>
              </w:rPr>
            </w:pPr>
            <w:r>
              <w:rPr>
                <w:b/>
              </w:rPr>
              <w:t>Substantial shareholder of the Company</w:t>
            </w:r>
          </w:p>
        </w:tc>
      </w:tr>
      <w:tr>
        <w:trPr/>
        <w:tc>
          <w:tcPr>
            <w:tcW w:w="473" w:type="dxa"/>
            <w:tcBorders/>
            <w:shd w:fill="CCEEFF" w:val="clear"/>
            <w:vAlign w:val="center"/>
          </w:tcPr>
          <w:p>
            <w:pPr>
              <w:pStyle w:val="TableContents"/>
              <w:bidi w:val="0"/>
              <w:spacing w:before="0" w:after="283"/>
              <w:jc w:val="left"/>
              <w:rPr/>
            </w:pPr>
            <w:r>
              <w:rPr/>
              <w:t>Dr. Zhai</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127,201</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163" w:type="dxa"/>
            <w:tcBorders/>
            <w:shd w:fill="CCEEFF" w:val="clear"/>
            <w:vAlign w:val="center"/>
          </w:tcPr>
          <w:p>
            <w:pPr>
              <w:pStyle w:val="TableContents"/>
              <w:bidi w:val="0"/>
              <w:spacing w:before="0" w:after="283"/>
              <w:jc w:val="left"/>
              <w:rPr/>
            </w:pPr>
            <w:r>
              <w:rPr/>
              <w:t>●</w:t>
            </w:r>
            <w:r>
              <w:rPr/>
              <w:tab/>
              <w:t>103,365 RSUs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right"/>
              <w:rPr/>
            </w:pPr>
            <w:r>
              <w:rPr/>
              <w:t> </w:t>
            </w:r>
          </w:p>
        </w:tc>
        <w:tc>
          <w:tcPr>
            <w:tcW w:w="383" w:type="dxa"/>
            <w:tcBorders/>
            <w:shd w:fill="CCEEFF" w:val="clear"/>
            <w:vAlign w:val="center"/>
          </w:tcPr>
          <w:p>
            <w:pPr>
              <w:pStyle w:val="TableContents"/>
              <w:bidi w:val="0"/>
              <w:spacing w:before="0" w:after="283"/>
              <w:jc w:val="left"/>
              <w:rPr/>
            </w:pPr>
            <w:r>
              <w:rPr/>
              <w:t>HK$</w:t>
            </w:r>
          </w:p>
        </w:tc>
        <w:tc>
          <w:tcPr>
            <w:tcW w:w="562" w:type="dxa"/>
            <w:tcBorders/>
            <w:shd w:fill="CCEEFF" w:val="clear"/>
            <w:vAlign w:val="center"/>
          </w:tcPr>
          <w:p>
            <w:pPr>
              <w:pStyle w:val="TableContents"/>
              <w:bidi w:val="0"/>
              <w:spacing w:before="0" w:after="283"/>
              <w:jc w:val="right"/>
              <w:rPr/>
            </w:pPr>
            <w:r>
              <w:rPr/>
              <w:t>63.35</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23,836</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103,365</w:t>
            </w:r>
          </w:p>
        </w:tc>
        <w:tc>
          <w:tcPr>
            <w:tcW w:w="80" w:type="dxa"/>
            <w:tcBorders/>
            <w:shd w:fill="CCEEFF" w:val="clear"/>
            <w:vAlign w:val="center"/>
          </w:tcPr>
          <w:p>
            <w:pPr>
              <w:pStyle w:val="TableContents"/>
              <w:bidi w:val="0"/>
              <w:spacing w:before="0" w:after="283"/>
              <w:jc w:val="left"/>
              <w:rPr/>
            </w:pPr>
            <w:r>
              <w:rPr/>
              <w:t> </w:t>
            </w:r>
          </w:p>
        </w:tc>
      </w:tr>
      <w:tr>
        <w:trPr/>
        <w:tc>
          <w:tcPr>
            <w:tcW w:w="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163" w:type="dxa"/>
            <w:tcBorders/>
            <w:shd w:fill="CCEEFF" w:val="clear"/>
            <w:vAlign w:val="center"/>
          </w:tcPr>
          <w:p>
            <w:pPr>
              <w:pStyle w:val="TableContents"/>
              <w:bidi w:val="0"/>
              <w:spacing w:before="0" w:after="283"/>
              <w:jc w:val="left"/>
              <w:rPr/>
            </w:pPr>
            <w:r>
              <w:rPr/>
              <w:t>●</w:t>
            </w:r>
            <w:r>
              <w:rPr/>
              <w:tab/>
              <w:t>23,836 RSUs shall vest on May 21, 2026.</w:t>
            </w:r>
          </w:p>
        </w:tc>
        <w:tc>
          <w:tcPr>
            <w:tcW w:w="60" w:type="dxa"/>
            <w:tcBorders/>
            <w:shd w:fill="CCEEFF" w:val="clear"/>
            <w:vAlign w:val="center"/>
          </w:tcPr>
          <w:p>
            <w:pPr>
              <w:pStyle w:val="TableContents"/>
              <w:bidi w:val="0"/>
              <w:spacing w:before="0" w:after="283"/>
              <w:jc w:val="right"/>
              <w:rPr/>
            </w:pPr>
            <w:r>
              <w:rPr/>
              <w:t> </w:t>
            </w:r>
          </w:p>
        </w:tc>
        <w:tc>
          <w:tcPr>
            <w:tcW w:w="383" w:type="dxa"/>
            <w:tcBorders/>
            <w:shd w:fill="CCEEFF" w:val="clear"/>
            <w:vAlign w:val="center"/>
          </w:tcPr>
          <w:p>
            <w:pPr>
              <w:pStyle w:val="TableContents"/>
              <w:bidi w:val="0"/>
              <w:spacing w:before="0" w:after="283"/>
              <w:jc w:val="righ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center"/>
              <w:rPr/>
            </w:pPr>
            <w:r>
              <w:rPr/>
              <w:t>April 20, 2026</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283,909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163" w:type="dxa"/>
            <w:tcBorders/>
            <w:shd w:fill="CCEEFF" w:val="clear"/>
            <w:vAlign w:val="center"/>
          </w:tcPr>
          <w:p>
            <w:pPr>
              <w:pStyle w:val="TableContents"/>
              <w:bidi w:val="0"/>
              <w:spacing w:before="0" w:after="283"/>
              <w:jc w:val="left"/>
              <w:rPr/>
            </w:pPr>
            <w:r>
              <w:rPr/>
              <w:t>●</w:t>
            </w:r>
            <w:r>
              <w:rPr/>
              <w:tab/>
              <w:t>214,999 RSUs shall vest in four tranches equally on May 21, 2027, May 21, 2028, May 21, 2029 and May 21, 2030, respectively.</w:t>
            </w:r>
          </w:p>
        </w:tc>
        <w:tc>
          <w:tcPr>
            <w:tcW w:w="60" w:type="dxa"/>
            <w:tcBorders/>
            <w:shd w:fill="CCEEFF" w:val="clear"/>
            <w:vAlign w:val="center"/>
          </w:tcPr>
          <w:p>
            <w:pPr>
              <w:pStyle w:val="TableContents"/>
              <w:bidi w:val="0"/>
              <w:spacing w:before="0" w:after="283"/>
              <w:jc w:val="right"/>
              <w:rPr/>
            </w:pPr>
            <w:r>
              <w:rPr/>
              <w:t> </w:t>
            </w:r>
          </w:p>
        </w:tc>
        <w:tc>
          <w:tcPr>
            <w:tcW w:w="383" w:type="dxa"/>
            <w:tcBorders/>
            <w:shd w:fill="CCEEFF" w:val="clear"/>
            <w:vAlign w:val="center"/>
          </w:tcPr>
          <w:p>
            <w:pPr>
              <w:pStyle w:val="TableContents"/>
              <w:bidi w:val="0"/>
              <w:spacing w:before="0" w:after="283"/>
              <w:jc w:val="left"/>
              <w:rPr/>
            </w:pPr>
            <w:r>
              <w:rPr/>
              <w:t>HK$</w:t>
            </w:r>
          </w:p>
        </w:tc>
        <w:tc>
          <w:tcPr>
            <w:tcW w:w="562" w:type="dxa"/>
            <w:tcBorders/>
            <w:shd w:fill="CCEEFF" w:val="clear"/>
            <w:vAlign w:val="center"/>
          </w:tcPr>
          <w:p>
            <w:pPr>
              <w:pStyle w:val="TableContents"/>
              <w:bidi w:val="0"/>
              <w:spacing w:before="0" w:after="283"/>
              <w:jc w:val="right"/>
              <w:rPr/>
            </w:pPr>
            <w:r>
              <w:rPr/>
              <w:t>51.50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68,910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214,999</w:t>
            </w:r>
          </w:p>
        </w:tc>
        <w:tc>
          <w:tcPr>
            <w:tcW w:w="80" w:type="dxa"/>
            <w:tcBorders/>
            <w:shd w:fill="CCEEFF" w:val="clear"/>
            <w:vAlign w:val="center"/>
          </w:tcPr>
          <w:p>
            <w:pPr>
              <w:pStyle w:val="TableContents"/>
              <w:bidi w:val="0"/>
              <w:spacing w:before="0" w:after="283"/>
              <w:jc w:val="left"/>
              <w:rPr/>
            </w:pPr>
            <w:r>
              <w:rPr/>
              <w:t> </w:t>
            </w:r>
          </w:p>
        </w:tc>
      </w:tr>
      <w:tr>
        <w:trPr/>
        <w:tc>
          <w:tcPr>
            <w:tcW w:w="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right"/>
              <w:rPr/>
            </w:pPr>
            <w:r>
              <w:rPr/>
              <w:t> </w:t>
            </w:r>
          </w:p>
        </w:tc>
        <w:tc>
          <w:tcPr>
            <w:tcW w:w="8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163" w:type="dxa"/>
            <w:tcBorders/>
            <w:shd w:fill="CCEEFF" w:val="clear"/>
            <w:vAlign w:val="center"/>
          </w:tcPr>
          <w:p>
            <w:pPr>
              <w:pStyle w:val="TableContents"/>
              <w:bidi w:val="0"/>
              <w:spacing w:before="0" w:after="283"/>
              <w:jc w:val="left"/>
              <w:rPr/>
            </w:pPr>
            <w:r>
              <w:rPr/>
              <w:t>●</w:t>
            </w:r>
            <w:r>
              <w:rPr/>
              <w:tab/>
              <w:t>68,910 RSUs shall vest on May 21, 2026.</w:t>
            </w:r>
          </w:p>
        </w:tc>
        <w:tc>
          <w:tcPr>
            <w:tcW w:w="60" w:type="dxa"/>
            <w:tcBorders/>
            <w:shd w:fill="CCEEFF" w:val="clear"/>
            <w:vAlign w:val="center"/>
          </w:tcPr>
          <w:p>
            <w:pPr>
              <w:pStyle w:val="TableContents"/>
              <w:bidi w:val="0"/>
              <w:spacing w:before="0" w:after="283"/>
              <w:jc w:val="right"/>
              <w:rPr/>
            </w:pPr>
            <w:r>
              <w:rPr/>
              <w:t> </w:t>
            </w:r>
          </w:p>
        </w:tc>
        <w:tc>
          <w:tcPr>
            <w:tcW w:w="383" w:type="dxa"/>
            <w:tcBorders/>
            <w:shd w:fill="CCEEFF" w:val="clear"/>
            <w:vAlign w:val="center"/>
          </w:tcPr>
          <w:p>
            <w:pPr>
              <w:pStyle w:val="TableContents"/>
              <w:bidi w:val="0"/>
              <w:spacing w:before="0" w:after="283"/>
              <w:jc w:val="righ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right"/>
              <w:rPr/>
            </w:pPr>
            <w:r>
              <w:rPr/>
              <w:t> </w:t>
            </w:r>
          </w:p>
        </w:tc>
        <w:tc>
          <w:tcPr>
            <w:tcW w:w="61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right"/>
              <w:rPr/>
            </w:pPr>
            <w:r>
              <w:rPr/>
              <w:t> </w:t>
            </w:r>
          </w:p>
        </w:tc>
        <w:tc>
          <w:tcPr>
            <w:tcW w:w="98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79 staff</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June 23, 2022</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80,096</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7,265 RSUs shall vest in four tranches of 35%, 15%, 25% and 25% on June 8, 2021, June 8, 2022, June 8, 2023 and June 8, 2024,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15,532 RSUs shall vest in four tranches of 25%, 25%, 25% and 25% on April 30, 2023, April 30, 2024, April 30, 2025 and April 30, 2026,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17,287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62,809</w:t>
            </w:r>
          </w:p>
        </w:tc>
        <w:tc>
          <w:tcPr>
            <w:tcW w:w="80" w:type="dxa"/>
            <w:tcBorders/>
            <w:shd w:fill="FFFF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181,874 RSUs shall vest in four tranches of 25%, 25%, 25% and 25% on June 8, 2023, June 8, 2024, June 8, 2025 and June 8, 2026,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30,372 RSUs shall vest in two tranches of 40% and 60% on June 8, 2023 and June 8, 2024,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320,208 RSUs shall vest in three tranches of 30%, 30% and 40% on June 8, 2023, June 8, 2024 and June 8, 2025,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163" w:type="dxa"/>
            <w:tcBorders/>
            <w:shd w:fill="FFFFFF" w:val="clear"/>
            <w:vAlign w:val="center"/>
          </w:tcPr>
          <w:p>
            <w:pPr>
              <w:pStyle w:val="TableContents"/>
              <w:bidi w:val="0"/>
              <w:spacing w:before="0" w:after="283"/>
              <w:jc w:val="left"/>
              <w:rPr/>
            </w:pPr>
            <w:r>
              <w:rPr/>
              <w:t>●</w:t>
            </w:r>
            <w:r>
              <w:rPr/>
              <w:tab/>
              <w:t>115,365 RSUs shall vest in four tranches of 23%, 69%, 6% and 2% on April 30, 2023, April 30, 2024, April 30, 2025 and April 30, 2026, respectively.</w:t>
            </w:r>
          </w:p>
        </w:tc>
        <w:tc>
          <w:tcPr>
            <w:tcW w:w="60" w:type="dxa"/>
            <w:tcBorders/>
            <w:shd w:fill="FFFFFF" w:val="clear"/>
            <w:vAlign w:val="center"/>
          </w:tcPr>
          <w:p>
            <w:pPr>
              <w:pStyle w:val="TableContents"/>
              <w:bidi w:val="0"/>
              <w:spacing w:before="0" w:after="283"/>
              <w:jc w:val="right"/>
              <w:rPr/>
            </w:pPr>
            <w:r>
              <w:rPr/>
              <w:t> </w:t>
            </w:r>
          </w:p>
        </w:tc>
        <w:tc>
          <w:tcPr>
            <w:tcW w:w="383" w:type="dxa"/>
            <w:tcBorders/>
            <w:shd w:fill="FFFFFF" w:val="clear"/>
            <w:vAlign w:val="center"/>
          </w:tcPr>
          <w:p>
            <w:pPr>
              <w:pStyle w:val="TableContents"/>
              <w:bidi w:val="0"/>
              <w:spacing w:before="0" w:after="283"/>
              <w:jc w:val="righ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right"/>
              <w:rPr/>
            </w:pPr>
            <w:r>
              <w:rPr/>
              <w:t> </w:t>
            </w:r>
          </w:p>
        </w:tc>
        <w:tc>
          <w:tcPr>
            <w:tcW w:w="61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right"/>
              <w:rPr/>
            </w:pPr>
            <w:r>
              <w:rPr/>
              <w:t> </w:t>
            </w:r>
          </w:p>
        </w:tc>
        <w:tc>
          <w:tcPr>
            <w:tcW w:w="98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1185" w:type="dxa"/>
        <w:jc w:val="left"/>
        <w:tblInd w:w="0" w:type="dxa"/>
        <w:tblLayout w:type="fixed"/>
        <w:tblCellMar>
          <w:top w:w="0" w:type="dxa"/>
          <w:left w:w="0" w:type="dxa"/>
          <w:bottom w:w="0" w:type="dxa"/>
          <w:right w:w="0" w:type="dxa"/>
        </w:tblCellMar>
      </w:tblPr>
      <w:tblGrid>
        <w:gridCol w:w="920"/>
        <w:gridCol w:w="60"/>
        <w:gridCol w:w="1385"/>
        <w:gridCol w:w="60"/>
        <w:gridCol w:w="60"/>
        <w:gridCol w:w="995"/>
        <w:gridCol w:w="60"/>
        <w:gridCol w:w="60"/>
        <w:gridCol w:w="60"/>
        <w:gridCol w:w="980"/>
        <w:gridCol w:w="60"/>
        <w:gridCol w:w="60"/>
        <w:gridCol w:w="1025"/>
        <w:gridCol w:w="60"/>
        <w:gridCol w:w="380"/>
        <w:gridCol w:w="560"/>
        <w:gridCol w:w="60"/>
        <w:gridCol w:w="60"/>
        <w:gridCol w:w="60"/>
        <w:gridCol w:w="980"/>
        <w:gridCol w:w="60"/>
        <w:gridCol w:w="60"/>
        <w:gridCol w:w="77"/>
        <w:gridCol w:w="798"/>
        <w:gridCol w:w="60"/>
        <w:gridCol w:w="60"/>
        <w:gridCol w:w="70"/>
        <w:gridCol w:w="805"/>
        <w:gridCol w:w="60"/>
        <w:gridCol w:w="60"/>
        <w:gridCol w:w="60"/>
        <w:gridCol w:w="995"/>
        <w:gridCol w:w="75"/>
      </w:tblGrid>
      <w:tr>
        <w:trPr/>
        <w:tc>
          <w:tcPr>
            <w:tcW w:w="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5"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1,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Vesting period or vesting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RSUs granted</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of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RSUs granted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Vested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Cancelled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Lapsed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Outstanding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69 staff</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September 2,</w:t>
              <w:b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288,743</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September 2, 2024</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right"/>
              <w:rPr/>
            </w:pPr>
            <w:r>
              <w:rPr/>
              <w:t> </w:t>
            </w:r>
          </w:p>
        </w:tc>
        <w:tc>
          <w:tcPr>
            <w:tcW w:w="7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21,502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right"/>
              <w:rPr/>
            </w:pPr>
            <w:r>
              <w:rPr/>
              <w:t>267,241</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128 staff</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November 26,</w:t>
              <w:b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636,715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The RSUs shall vest in four tranches equally on November 26, 2026, November 26, 2027, November 26, 2028 and November 26, 2029,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38,215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95" w:type="dxa"/>
            <w:tcBorders/>
            <w:shd w:fill="FFFFFF" w:val="clear"/>
            <w:vAlign w:val="center"/>
          </w:tcPr>
          <w:p>
            <w:pPr>
              <w:pStyle w:val="TableContents"/>
              <w:bidi w:val="0"/>
              <w:spacing w:before="0" w:after="283"/>
              <w:jc w:val="right"/>
              <w:rPr/>
            </w:pPr>
            <w:r>
              <w:rPr/>
              <w:t>598.500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8 service providers</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November 26,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170,000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four tranches equally on November 26, 2026, November 26, 2027, November 26, 2028 and November 26, 2029,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righ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right"/>
              <w:rPr/>
            </w:pPr>
            <w:r>
              <w:rPr/>
              <w:t> </w:t>
            </w:r>
          </w:p>
        </w:tc>
        <w:tc>
          <w:tcPr>
            <w:tcW w:w="7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right"/>
              <w:rPr/>
            </w:pPr>
            <w:r>
              <w:rPr/>
              <w:t>170,000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A senior manager</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April 20,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18,584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May 21, 2026</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51.50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18,584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9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A senior manager</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150,739</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four tranches equally on June 29, 2027, June 29, 2028, June 29, 2029 and June 29, 2030,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right"/>
              <w:rPr/>
            </w:pPr>
            <w:r>
              <w:rPr/>
              <w:t> </w:t>
            </w:r>
          </w:p>
        </w:tc>
        <w:tc>
          <w:tcPr>
            <w:tcW w:w="7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right"/>
              <w:rPr/>
            </w:pPr>
            <w:r>
              <w:rPr/>
              <w:t> </w:t>
            </w:r>
          </w:p>
        </w:tc>
        <w:tc>
          <w:tcPr>
            <w:tcW w:w="80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995" w:type="dxa"/>
            <w:tcBorders/>
            <w:shd w:fill="CCEEFF" w:val="clear"/>
            <w:vAlign w:val="center"/>
          </w:tcPr>
          <w:p>
            <w:pPr>
              <w:pStyle w:val="TableContents"/>
              <w:bidi w:val="0"/>
              <w:spacing w:before="0" w:after="283"/>
              <w:jc w:val="right"/>
              <w:rPr/>
            </w:pPr>
            <w:r>
              <w:rPr/>
              <w:t>150,739</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241 staff</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June 29,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2,924,894</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905,103 RSUs granted to 145 staff shall vest on June 29, 2026.</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left"/>
              <w:rPr/>
            </w:pPr>
            <w:r>
              <w:rPr/>
              <w:t>HK$</w:t>
            </w:r>
          </w:p>
        </w:tc>
        <w:tc>
          <w:tcPr>
            <w:tcW w:w="560" w:type="dxa"/>
            <w:tcBorders/>
            <w:shd w:fill="FFFFFF" w:val="clear"/>
            <w:vAlign w:val="center"/>
          </w:tcPr>
          <w:p>
            <w:pPr>
              <w:pStyle w:val="TableContents"/>
              <w:bidi w:val="0"/>
              <w:spacing w:before="0" w:after="283"/>
              <w:jc w:val="right"/>
              <w:rPr/>
            </w:pPr>
            <w:r>
              <w:rPr/>
              <w:t>33.62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905,103</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95" w:type="dxa"/>
            <w:tcBorders/>
            <w:shd w:fill="FFFFFF" w:val="clear"/>
            <w:vAlign w:val="center"/>
          </w:tcPr>
          <w:p>
            <w:pPr>
              <w:pStyle w:val="TableContents"/>
              <w:bidi w:val="0"/>
              <w:spacing w:before="0" w:after="283"/>
              <w:jc w:val="right"/>
              <w:rPr/>
            </w:pPr>
            <w:r>
              <w:rPr/>
              <w:t>2,019,791</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w:t>
            </w:r>
            <w:r>
              <w:rPr/>
              <w:tab/>
              <w:t>2,019,791 RSUs granted to the remaining 96 staff shall vest in four tranches equally on June 29, 2027, June 29, 2028, June 29, 2029 and June 29, 2030, respectively.</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7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right"/>
              <w:rPr/>
            </w:pPr>
            <w:r>
              <w:rPr/>
              <w:t> </w:t>
            </w:r>
          </w:p>
        </w:tc>
        <w:tc>
          <w:tcPr>
            <w:tcW w:w="8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A Service Provider</w:t>
            </w:r>
          </w:p>
        </w:tc>
        <w:tc>
          <w:tcPr>
            <w:tcW w:w="60"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center"/>
              <w:rPr/>
            </w:pPr>
            <w:r>
              <w:rPr/>
              <w:t>June 29,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170"/>
              <w:jc w:val="right"/>
              <w:rPr/>
            </w:pPr>
            <w:r>
              <w:rPr/>
              <w:t> </w:t>
            </w:r>
          </w:p>
        </w:tc>
        <w:tc>
          <w:tcPr>
            <w:tcW w:w="1025" w:type="dxa"/>
            <w:tcBorders/>
            <w:shd w:fill="CCEEFF" w:val="clear"/>
            <w:vAlign w:val="center"/>
          </w:tcPr>
          <w:p>
            <w:pPr>
              <w:pStyle w:val="TableContents"/>
              <w:bidi w:val="0"/>
              <w:spacing w:before="0" w:after="283"/>
              <w:jc w:val="left"/>
              <w:rPr/>
            </w:pPr>
            <w:r>
              <w:rPr/>
              <w:t>●</w:t>
            </w:r>
            <w:r>
              <w:rPr/>
              <w:tab/>
              <w:t>The RSUs shall vest in four tranches equally on June 29, 2027, June 29, 2028, June 29, 2029 and June 29, 2030, respectively.</w:t>
            </w:r>
          </w:p>
        </w:tc>
        <w:tc>
          <w:tcPr>
            <w:tcW w:w="60" w:type="dxa"/>
            <w:tcBorders/>
            <w:shd w:fill="CCEEFF" w:val="clear"/>
            <w:vAlign w:val="center"/>
          </w:tcPr>
          <w:p>
            <w:pPr>
              <w:pStyle w:val="TableContents"/>
              <w:bidi w:val="0"/>
              <w:spacing w:before="0" w:after="283"/>
              <w:jc w:val="right"/>
              <w:rPr/>
            </w:pPr>
            <w:r>
              <w:rPr/>
              <w:t> </w:t>
            </w:r>
          </w:p>
        </w:tc>
        <w:tc>
          <w:tcPr>
            <w:tcW w:w="380" w:type="dxa"/>
            <w:tcBorders/>
            <w:shd w:fill="CCEEFF" w:val="clear"/>
            <w:vAlign w:val="center"/>
          </w:tcPr>
          <w:p>
            <w:pPr>
              <w:pStyle w:val="TableContents"/>
              <w:bidi w:val="0"/>
              <w:spacing w:before="0" w:after="283"/>
              <w:jc w:val="left"/>
              <w:rPr/>
            </w:pPr>
            <w:r>
              <w:rPr/>
              <w:t>HK$</w:t>
            </w:r>
          </w:p>
        </w:tc>
        <w:tc>
          <w:tcPr>
            <w:tcW w:w="560" w:type="dxa"/>
            <w:tcBorders/>
            <w:shd w:fill="CCEEFF" w:val="clear"/>
            <w:vAlign w:val="center"/>
          </w:tcPr>
          <w:p>
            <w:pPr>
              <w:pStyle w:val="TableContents"/>
              <w:bidi w:val="0"/>
              <w:spacing w:before="0" w:after="283"/>
              <w:jc w:val="right"/>
              <w:rPr/>
            </w:pPr>
            <w:r>
              <w:rPr/>
              <w:t>33.62</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1,545,292</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4,047,149</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170"/>
              <w:jc w:val="righ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380" w:type="dxa"/>
            <w:tcBorders/>
            <w:shd w:fill="FFFFFF" w:val="clear"/>
            <w:vAlign w:val="center"/>
          </w:tcPr>
          <w:p>
            <w:pPr>
              <w:pStyle w:val="TableContents"/>
              <w:bidi w:val="0"/>
              <w:spacing w:before="0" w:after="283"/>
              <w:jc w:val="righ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1,129,295</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7"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798"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r>
              <w:rPr>
                <w:b/>
              </w:rPr>
              <w:t>0</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80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59,717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4,403,429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3" w:type="dxa"/>
            <w:tcBorders/>
            <w:vAlign w:val="center"/>
          </w:tcPr>
          <w:p>
            <w:pPr>
              <w:pStyle w:val="TableContents"/>
              <w:bidi w:val="0"/>
              <w:spacing w:before="0" w:after="283"/>
              <w:jc w:val="both"/>
              <w:rPr/>
            </w:pPr>
            <w:r>
              <w:rPr/>
              <w:t>The weighted average closing price of the Shares immediately before the dates on which all the RSUs granted under the 2022 RSU Scheme throughout the life of the 2022 RSU Scheme were vested is HK$32.22. The weighted average closing price of the Shares immediately before the dates on which the RSUs granted during the Reporting Period under the 2022 RSU Scheme were vested is HK$31.88.</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The Board may determine the vesting criteria, conditions and the time schedule when the RSUs will vest and such criteria, conditions and time schedule shall be stated in the grant letter. The periods over which the awards will vest shall not be less than 12 months. The vesting period of awards granted to employee participants may be shorter than 12 months under certain circumstances set out in the 2022 RSU Scheme.</w:t>
            </w:r>
          </w:p>
        </w:tc>
      </w:tr>
    </w:tbl>
    <w:p>
      <w:pPr>
        <w:pStyle w:val="TextBody"/>
        <w:bidi w:val="0"/>
        <w:spacing w:before="0" w:after="0"/>
        <w:ind w:left="90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t>During the Reporting Period, 4,047,149 RSUs have been granted, and 206,905 RSUs have been vested to the five highest paid individuals of the Company under the 2022 RSU Scheme.</w:t>
            </w:r>
          </w:p>
        </w:tc>
      </w:tr>
    </w:tbl>
    <w:p>
      <w:pPr>
        <w:pStyle w:val="TextBody"/>
        <w:bidi w:val="0"/>
        <w:spacing w:before="0" w:after="0"/>
        <w:ind w:left="907" w:right="0" w:hanging="453"/>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4.</w:t>
            </w:r>
          </w:p>
        </w:tc>
        <w:tc>
          <w:tcPr>
            <w:tcW w:w="9987" w:type="dxa"/>
            <w:tcBorders/>
            <w:vAlign w:val="center"/>
          </w:tcPr>
          <w:p>
            <w:pPr>
              <w:pStyle w:val="TableContents"/>
              <w:bidi w:val="0"/>
              <w:spacing w:before="0" w:after="283"/>
              <w:jc w:val="both"/>
              <w:rPr/>
            </w:pPr>
            <w:r>
              <w:rPr/>
              <w:t>The fair value of the RSUs granted during the Reporting Period was calculated based on the closing price of the Shares on the respective date of grant.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that may be issued in respect of options and RSUs granted under all of the abovementioned share incentive schemes of the Company during the Reporting Period divided by the weighted average total issued share capital of the Company for the Reporting Period is 0.0155.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2025, the Company adopted the Scheme Mandate Limit on the total number of Shares that may be issued in respect of all options and awards to the eligible participants under all the Share Schemes of the Company. All the new Shares which may be allotted and issued under the Scheme Mandate Limit, being 29,113,683 Shares underlying the awards and/or options under the 2021 RSU Scheme, the 2022 RSU Scheme and the Post IPO Share Option Scheme. At the end of the Reporting Period, the number of options and awards available for grant under the Scheme Mandate Limit is 14,715,927 Shares, representing 3.94% of the issued capital of the Company as at June 30, 2026 and 3.94% of the issued capital of the Company as at the date of this interim report.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2025, the Service Provider Sublimit on the total number of Shares that may be issued in respect of all options and awards to be granted to the Service Providers under all the Share Schemes of the Company were adopted. At the end of the Reporting Period, the Service Provider Sublimit in respect of the Share Schemes shall be 3,483,089 Shares. As at June 30, 2026, no awards has been granted to Service Provider, and thus the number of options and awards available for grant under the Service Provider Sublimit is 3,116,172 Shares, representing 0.83% of the issued capital of the Company as at June 30, 2026 and 0.83% of the issued capital of the Company as at the date of this interim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INFORMATION OF DIRECTORS AND CHIEF EXECUTIVES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changes of Directors’ information since the date of the 2025 annual report of the Company, which are required to be disclosed pursuant to Rule 13.51B(1) of the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Ye Changqing, an independent non-executive Director of the Company, also serves as an independent non-executive director of Hang Sang (Siu Po) International Holding Company Limited, a company listed on the Stock Exchange (stock code: 3626), which has changed its name to East Nova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SALE OR REDEMPTION OF THE COMPANY’S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neither the Company nor any of its subsidiaries purchased, sold or redeemed any listed securities (including sale of treasury shares (as defined under the Listing Rules)) of the Company. As at June 30, 2026, the Company did not hold any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 involved in any material litigation or arbitration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also not aware of any material litigation or claims that are pending or threatened against the Group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Use of Net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use of net proceeds of fund raising activities carried out by the Company on or before June 30, 2026 are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Global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Shares of the Company listed on the Stock Exchange on October 28, 2019, the net proceeds from the Global Offering (including shares issued as a result of the full exercise of the over-allotment option) were approximately HK$369.8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net proceeds as previously disclosed in the Prospectus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Global Offering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87"/>
        <w:gridCol w:w="60"/>
        <w:gridCol w:w="89"/>
        <w:gridCol w:w="847"/>
        <w:gridCol w:w="215"/>
        <w:gridCol w:w="60"/>
        <w:gridCol w:w="109"/>
        <w:gridCol w:w="1267"/>
        <w:gridCol w:w="60"/>
        <w:gridCol w:w="60"/>
        <w:gridCol w:w="79"/>
        <w:gridCol w:w="1297"/>
        <w:gridCol w:w="60"/>
        <w:gridCol w:w="60"/>
        <w:gridCol w:w="131"/>
        <w:gridCol w:w="1245"/>
        <w:gridCol w:w="79"/>
      </w:tblGrid>
      <w:tr>
        <w:trPr/>
        <w:tc>
          <w:tcPr>
            <w:tcW w:w="4487"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93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9" w:type="dxa"/>
            <w:tcBorders/>
            <w:tcMar>
              <w:bottom w:w="0" w:type="dxa"/>
            </w:tcMar>
            <w:vAlign w:val="center"/>
          </w:tcPr>
          <w:p>
            <w:pPr>
              <w:pStyle w:val="TableContents"/>
              <w:bidi w:val="0"/>
              <w:spacing w:before="0" w:after="283"/>
              <w:jc w:val="left"/>
              <w:rPr/>
            </w:pPr>
            <w:r>
              <w:rPr/>
              <w:t> </w:t>
            </w:r>
          </w:p>
        </w:tc>
      </w:tr>
      <w:tr>
        <w:trPr/>
        <w:tc>
          <w:tcPr>
            <w:tcW w:w="448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36"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center"/>
              <w:rPr/>
            </w:pPr>
            <w:r>
              <w:rPr/>
              <w:t>(HKD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center"/>
              <w:rPr/>
            </w:pPr>
            <w:r>
              <w:rPr/>
              <w:t>(RMB million)</w:t>
            </w:r>
          </w:p>
        </w:tc>
        <w:tc>
          <w:tcPr>
            <w:tcW w:w="79" w:type="dxa"/>
            <w:tcBorders/>
            <w:tcMar>
              <w:bottom w:w="0" w:type="dxa"/>
            </w:tcMar>
            <w:vAlign w:val="center"/>
          </w:tcPr>
          <w:p>
            <w:pPr>
              <w:pStyle w:val="TableContents"/>
              <w:bidi w:val="0"/>
              <w:spacing w:before="0" w:after="283"/>
              <w:jc w:val="left"/>
              <w:rPr/>
            </w:pPr>
            <w:r>
              <w:rPr/>
              <w:t> </w:t>
            </w:r>
          </w:p>
        </w:tc>
      </w:tr>
      <w:tr>
        <w:trPr/>
        <w:tc>
          <w:tcPr>
            <w:tcW w:w="44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tcMar>
              <w:bottom w:w="0" w:type="dxa"/>
            </w:tcMar>
            <w:vAlign w:val="center"/>
          </w:tcPr>
          <w:p>
            <w:pPr>
              <w:pStyle w:val="TableContents"/>
              <w:bidi w:val="0"/>
              <w:spacing w:before="0" w:after="283"/>
              <w:jc w:val="right"/>
              <w:rPr/>
            </w:pPr>
            <w:r>
              <w:rPr/>
              <w:t> </w:t>
            </w:r>
          </w:p>
        </w:tc>
        <w:tc>
          <w:tcPr>
            <w:tcW w:w="79" w:type="dxa"/>
            <w:tcBorders/>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CCEEFF" w:val="clear"/>
            <w:tcMar>
              <w:bottom w:w="0" w:type="dxa"/>
            </w:tcMar>
            <w:vAlign w:val="center"/>
          </w:tcPr>
          <w:p>
            <w:pPr>
              <w:pStyle w:val="TableContents"/>
              <w:bidi w:val="0"/>
              <w:spacing w:before="0" w:after="283"/>
              <w:jc w:val="left"/>
              <w:rPr/>
            </w:pPr>
            <w:r>
              <w:rPr/>
              <w:t>Research and development to bring our Core Product, HQP1351, to commercialization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42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pPr>
            <w:r>
              <w:rPr/>
              <w:t>  </w:t>
            </w:r>
            <w:r>
              <w:rPr/>
              <w:t>155.2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pPr>
            <w:r>
              <w:rPr/>
              <w:t>       </w:t>
            </w:r>
            <w:r>
              <w:rPr/>
              <w:t>138.2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138.2</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FFFFFF" w:val="clear"/>
            <w:tcMar>
              <w:bottom w:w="0" w:type="dxa"/>
            </w:tcMar>
            <w:vAlign w:val="center"/>
          </w:tcPr>
          <w:p>
            <w:pPr>
              <w:pStyle w:val="TableContents"/>
              <w:bidi w:val="0"/>
              <w:spacing w:before="0" w:after="283"/>
              <w:jc w:val="left"/>
              <w:rPr/>
            </w:pPr>
            <w:r>
              <w:rPr/>
              <w:t>Ongoing and planned clinical trials of APG-1252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47" w:type="dxa"/>
            <w:tcBorders/>
            <w:shd w:fill="FFFFFF" w:val="clear"/>
            <w:tcMar>
              <w:bottom w:w="0" w:type="dxa"/>
            </w:tcMar>
            <w:vAlign w:val="center"/>
          </w:tcPr>
          <w:p>
            <w:pPr>
              <w:pStyle w:val="TableContents"/>
              <w:bidi w:val="0"/>
              <w:spacing w:before="0" w:after="283"/>
              <w:jc w:val="right"/>
              <w:rPr/>
            </w:pPr>
            <w:r>
              <w:rPr/>
              <w:t>13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267" w:type="dxa"/>
            <w:tcBorders/>
            <w:shd w:fill="FFFFFF" w:val="clear"/>
            <w:tcMar>
              <w:bottom w:w="0" w:type="dxa"/>
            </w:tcMar>
            <w:vAlign w:val="center"/>
          </w:tcPr>
          <w:p>
            <w:pPr>
              <w:pStyle w:val="TableContents"/>
              <w:bidi w:val="0"/>
              <w:spacing w:before="0" w:after="283"/>
              <w:jc w:val="right"/>
              <w:rPr/>
            </w:pPr>
            <w:r>
              <w:rPr/>
              <w:t>48.1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pPr>
            <w:r>
              <w:rPr/>
              <w:t>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42.8</w:t>
            </w:r>
          </w:p>
        </w:tc>
        <w:tc>
          <w:tcPr>
            <w:tcW w:w="79"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CCEEFF" w:val="clear"/>
            <w:tcMar>
              <w:bottom w:w="0" w:type="dxa"/>
            </w:tcMar>
            <w:vAlign w:val="center"/>
          </w:tcPr>
          <w:p>
            <w:pPr>
              <w:pStyle w:val="TableContents"/>
              <w:bidi w:val="0"/>
              <w:spacing w:before="0" w:after="283"/>
              <w:jc w:val="left"/>
              <w:rPr/>
            </w:pPr>
            <w:r>
              <w:rPr/>
              <w:t>Ongoing and planned clinical trials of Lisaftoclax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19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pPr>
            <w:r>
              <w:rPr/>
              <w:t>70.3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pPr>
            <w:r>
              <w:rPr/>
              <w:t>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62.5</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FFFFFF" w:val="clear"/>
            <w:tcMar>
              <w:bottom w:w="0" w:type="dxa"/>
            </w:tcMar>
            <w:vAlign w:val="center"/>
          </w:tcPr>
          <w:p>
            <w:pPr>
              <w:pStyle w:val="TableContents"/>
              <w:bidi w:val="0"/>
              <w:spacing w:before="0" w:after="283"/>
              <w:jc w:val="left"/>
              <w:rPr/>
            </w:pPr>
            <w:r>
              <w:rPr/>
              <w:t>Ongoing and planned clinical trials of APG-115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47" w:type="dxa"/>
            <w:tcBorders/>
            <w:shd w:fill="FFFFFF" w:val="clear"/>
            <w:tcMar>
              <w:bottom w:w="0" w:type="dxa"/>
            </w:tcMar>
            <w:vAlign w:val="center"/>
          </w:tcPr>
          <w:p>
            <w:pPr>
              <w:pStyle w:val="TableContents"/>
              <w:bidi w:val="0"/>
              <w:spacing w:before="0" w:after="283"/>
              <w:jc w:val="right"/>
              <w:rPr/>
            </w:pPr>
            <w:r>
              <w:rPr/>
              <w:t>19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267" w:type="dxa"/>
            <w:tcBorders/>
            <w:shd w:fill="FFFFFF" w:val="clear"/>
            <w:tcMar>
              <w:bottom w:w="0" w:type="dxa"/>
            </w:tcMar>
            <w:vAlign w:val="center"/>
          </w:tcPr>
          <w:p>
            <w:pPr>
              <w:pStyle w:val="TableContents"/>
              <w:bidi w:val="0"/>
              <w:spacing w:before="0" w:after="283"/>
              <w:jc w:val="right"/>
              <w:rPr/>
            </w:pPr>
            <w:r>
              <w:rPr/>
              <w:t>70.3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297" w:type="dxa"/>
            <w:tcBorders/>
            <w:shd w:fill="FFFFFF" w:val="clear"/>
            <w:tcMar>
              <w:bottom w:w="0" w:type="dxa"/>
            </w:tcMar>
            <w:vAlign w:val="center"/>
          </w:tcPr>
          <w:p>
            <w:pPr>
              <w:pStyle w:val="TableContents"/>
              <w:bidi w:val="0"/>
              <w:spacing w:before="0" w:after="283"/>
              <w:jc w:val="right"/>
              <w:rPr/>
            </w:pPr>
            <w:r>
              <w:rPr/>
              <w:t>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245" w:type="dxa"/>
            <w:tcBorders/>
            <w:shd w:fill="FFFFFF" w:val="clear"/>
            <w:tcMar>
              <w:bottom w:w="0" w:type="dxa"/>
            </w:tcMar>
            <w:vAlign w:val="center"/>
          </w:tcPr>
          <w:p>
            <w:pPr>
              <w:pStyle w:val="TableContents"/>
              <w:bidi w:val="0"/>
              <w:spacing w:before="0" w:after="283"/>
              <w:jc w:val="right"/>
              <w:rPr/>
            </w:pPr>
            <w:r>
              <w:rPr/>
              <w:t>62.5</w:t>
            </w:r>
          </w:p>
        </w:tc>
        <w:tc>
          <w:tcPr>
            <w:tcW w:w="79"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CCEEFF" w:val="clear"/>
            <w:tcMar>
              <w:bottom w:w="0" w:type="dxa"/>
            </w:tcMar>
            <w:vAlign w:val="center"/>
          </w:tcPr>
          <w:p>
            <w:pPr>
              <w:pStyle w:val="TableContents"/>
              <w:bidi w:val="0"/>
              <w:spacing w:before="0" w:after="283"/>
              <w:jc w:val="left"/>
              <w:rPr/>
            </w:pPr>
            <w:r>
              <w:rPr/>
              <w:t>Ongoing and planned clinical trials for the rest of the clinical programs of the Company, APG-1387 and APG-2449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pPr>
            <w:r>
              <w:rPr/>
              <w:t>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pPr>
            <w:r>
              <w:rPr/>
              <w:t>19.7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19.7</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FFFFFF" w:val="clear"/>
            <w:tcMar>
              <w:bottom w:w="0" w:type="dxa"/>
            </w:tcMar>
            <w:vAlign w:val="center"/>
          </w:tcPr>
          <w:p>
            <w:pPr>
              <w:pStyle w:val="TableContents"/>
              <w:bidi w:val="0"/>
              <w:spacing w:before="0" w:after="283"/>
              <w:jc w:val="left"/>
              <w:rPr/>
            </w:pPr>
            <w:r>
              <w:rPr/>
              <w:t>Working capital and general corporate purposes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47" w:type="dxa"/>
            <w:tcBorders>
              <w:bottom w:val="single" w:sz="12" w:space="0" w:color="000000"/>
            </w:tcBorders>
            <w:shd w:fill="FFFFFF" w:val="clear"/>
            <w:vAlign w:val="center"/>
          </w:tcPr>
          <w:p>
            <w:pPr>
              <w:pStyle w:val="TableContents"/>
              <w:bidi w:val="0"/>
              <w:spacing w:before="0" w:after="283"/>
              <w:jc w:val="right"/>
              <w:rPr/>
            </w:pPr>
            <w:r>
              <w:rPr/>
              <w:t>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FFFFFF" w:val="clear"/>
            <w:vAlign w:val="center"/>
          </w:tcPr>
          <w:p>
            <w:pPr>
              <w:pStyle w:val="TableContents"/>
              <w:bidi w:val="0"/>
              <w:spacing w:before="0" w:after="283"/>
              <w:jc w:val="left"/>
              <w:rPr/>
            </w:pPr>
            <w:r>
              <w:rPr/>
              <w:t> </w:t>
            </w:r>
          </w:p>
        </w:tc>
        <w:tc>
          <w:tcPr>
            <w:tcW w:w="1267" w:type="dxa"/>
            <w:tcBorders>
              <w:bottom w:val="single" w:sz="12" w:space="0" w:color="000000"/>
            </w:tcBorders>
            <w:shd w:fill="FFFFFF" w:val="clear"/>
            <w:vAlign w:val="center"/>
          </w:tcPr>
          <w:p>
            <w:pPr>
              <w:pStyle w:val="TableContents"/>
              <w:bidi w:val="0"/>
              <w:spacing w:before="0" w:after="283"/>
              <w:jc w:val="right"/>
              <w:rPr/>
            </w:pPr>
            <w:r>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1297" w:type="dxa"/>
            <w:tcBorders>
              <w:bottom w:val="single" w:sz="12" w:space="0" w:color="000000"/>
            </w:tcBorders>
            <w:shd w:fill="FFFFFF" w:val="clear"/>
            <w:vAlign w:val="center"/>
          </w:tcPr>
          <w:p>
            <w:pPr>
              <w:pStyle w:val="TableContents"/>
              <w:bidi w:val="0"/>
              <w:spacing w:before="0" w:after="283"/>
              <w:jc w:val="righ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1245" w:type="dxa"/>
            <w:tcBorders>
              <w:bottom w:val="single" w:sz="12" w:space="0" w:color="000000"/>
            </w:tcBorders>
            <w:shd w:fill="FFFFFF" w:val="clear"/>
            <w:vAlign w:val="center"/>
          </w:tcPr>
          <w:p>
            <w:pPr>
              <w:pStyle w:val="TableContents"/>
              <w:bidi w:val="0"/>
              <w:spacing w:before="0" w:after="283"/>
              <w:jc w:val="right"/>
              <w:rPr/>
            </w:pPr>
            <w:r>
              <w:rPr/>
              <w:t>3.3</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48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4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2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29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4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487"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47" w:type="dxa"/>
            <w:tcBorders>
              <w:bottom w:val="single" w:sz="12" w:space="0" w:color="000000"/>
            </w:tcBorders>
            <w:shd w:fill="FFFFFF" w:val="clear"/>
            <w:vAlign w:val="center"/>
          </w:tcPr>
          <w:p>
            <w:pPr>
              <w:pStyle w:val="TableContents"/>
              <w:bidi w:val="0"/>
              <w:spacing w:before="0" w:after="283"/>
              <w:jc w:val="right"/>
              <w:rPr/>
            </w:pPr>
            <w:r>
              <w:rPr/>
              <w:t>100.0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12" w:space="0" w:color="000000"/>
            </w:tcBorders>
            <w:shd w:fill="FFFFFF" w:val="clear"/>
            <w:vAlign w:val="center"/>
          </w:tcPr>
          <w:p>
            <w:pPr>
              <w:pStyle w:val="TableContents"/>
              <w:bidi w:val="0"/>
              <w:spacing w:before="0" w:after="283"/>
              <w:jc w:val="left"/>
              <w:rPr/>
            </w:pPr>
            <w:r>
              <w:rPr/>
              <w:t> </w:t>
            </w:r>
          </w:p>
        </w:tc>
        <w:tc>
          <w:tcPr>
            <w:tcW w:w="1267" w:type="dxa"/>
            <w:tcBorders>
              <w:bottom w:val="single" w:sz="12" w:space="0" w:color="000000"/>
            </w:tcBorders>
            <w:shd w:fill="FFFFFF" w:val="clear"/>
            <w:vAlign w:val="center"/>
          </w:tcPr>
          <w:p>
            <w:pPr>
              <w:pStyle w:val="TableContents"/>
              <w:bidi w:val="0"/>
              <w:spacing w:before="0" w:after="283"/>
              <w:jc w:val="right"/>
              <w:rPr/>
            </w:pPr>
            <w:r>
              <w:rPr/>
              <w:t>369.8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12" w:space="0" w:color="000000"/>
            </w:tcBorders>
            <w:shd w:fill="FFFFFF" w:val="clear"/>
            <w:vAlign w:val="center"/>
          </w:tcPr>
          <w:p>
            <w:pPr>
              <w:pStyle w:val="TableContents"/>
              <w:bidi w:val="0"/>
              <w:spacing w:before="0" w:after="283"/>
              <w:jc w:val="left"/>
              <w:rPr/>
            </w:pPr>
            <w:r>
              <w:rPr/>
              <w:t> </w:t>
            </w:r>
          </w:p>
        </w:tc>
        <w:tc>
          <w:tcPr>
            <w:tcW w:w="1297" w:type="dxa"/>
            <w:tcBorders>
              <w:bottom w:val="single" w:sz="12" w:space="0" w:color="000000"/>
            </w:tcBorders>
            <w:shd w:fill="FFFFFF" w:val="clear"/>
            <w:vAlign w:val="center"/>
          </w:tcPr>
          <w:p>
            <w:pPr>
              <w:pStyle w:val="TableContents"/>
              <w:bidi w:val="0"/>
              <w:spacing w:before="0" w:after="283"/>
              <w:jc w:val="right"/>
              <w:rPr/>
            </w:pPr>
            <w:r>
              <w:rPr/>
              <w:t>329.1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1245" w:type="dxa"/>
            <w:tcBorders>
              <w:bottom w:val="single" w:sz="12" w:space="0" w:color="000000"/>
            </w:tcBorders>
            <w:shd w:fill="FFFFFF" w:val="clear"/>
            <w:vAlign w:val="center"/>
          </w:tcPr>
          <w:p>
            <w:pPr>
              <w:pStyle w:val="TableContents"/>
              <w:bidi w:val="0"/>
              <w:spacing w:before="0" w:after="283"/>
              <w:jc w:val="right"/>
              <w:rPr/>
            </w:pPr>
            <w:r>
              <w:rPr/>
              <w:t>329.1</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56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Net proceeds from the Global Offering were received in Hong Kong dollars and translated to RMB for application planning. The plan was adjusted slightly due to the fluctuation of the exchange rate since the Global Offering.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2020 Placing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2020 Placing of 15,000,000 Shares took place on July 15, 2020. The net proceeds (after the deduction of all applicable costs and expenses) raised from the 2020 Placing were approximately HK$689.5 million. There was no change in the intended use of the net proceeds as previously disclosed in the relevant announcement of the Company dated July 8, 2020 and as at December 31, 2025,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 that the 2020 Placing represents an opportunity to raise capital for the Company while broadening its Shareholder base. The Directors are of the view that the 2020 Placing would strengthen the financial position of the Group and provide working capital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July 8, 2020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2020 Placing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93"/>
        <w:gridCol w:w="60"/>
        <w:gridCol w:w="130"/>
        <w:gridCol w:w="832"/>
        <w:gridCol w:w="215"/>
        <w:gridCol w:w="60"/>
        <w:gridCol w:w="126"/>
        <w:gridCol w:w="1199"/>
        <w:gridCol w:w="60"/>
        <w:gridCol w:w="60"/>
        <w:gridCol w:w="132"/>
        <w:gridCol w:w="1253"/>
        <w:gridCol w:w="60"/>
        <w:gridCol w:w="60"/>
        <w:gridCol w:w="131"/>
        <w:gridCol w:w="1254"/>
        <w:gridCol w:w="80"/>
      </w:tblGrid>
      <w:tr>
        <w:trPr/>
        <w:tc>
          <w:tcPr>
            <w:tcW w:w="4493"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96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tcMar>
              <w:bottom w:w="0" w:type="dxa"/>
            </w:tcMar>
            <w:vAlign w:val="center"/>
          </w:tcPr>
          <w:p>
            <w:pPr>
              <w:pStyle w:val="TableContents"/>
              <w:bidi w:val="0"/>
              <w:spacing w:before="0" w:after="283"/>
              <w:jc w:val="left"/>
              <w:rPr/>
            </w:pPr>
            <w:r>
              <w:rPr/>
              <w:t> </w:t>
            </w:r>
          </w:p>
        </w:tc>
      </w:tr>
      <w:tr>
        <w:trPr/>
        <w:tc>
          <w:tcPr>
            <w:tcW w:w="449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2"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tcMar>
              <w:bottom w:w="0" w:type="dxa"/>
            </w:tcMar>
            <w:vAlign w:val="center"/>
          </w:tcPr>
          <w:p>
            <w:pPr>
              <w:pStyle w:val="TableContents"/>
              <w:bidi w:val="0"/>
              <w:spacing w:before="0" w:after="283"/>
              <w:jc w:val="center"/>
              <w:rPr/>
            </w:pPr>
            <w:r>
              <w:rPr/>
              <w:t>(HK$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tcMar>
              <w:bottom w:w="0" w:type="dxa"/>
            </w:tcMar>
            <w:vAlign w:val="center"/>
          </w:tcPr>
          <w:p>
            <w:pPr>
              <w:pStyle w:val="TableContents"/>
              <w:bidi w:val="0"/>
              <w:spacing w:before="0" w:after="283"/>
              <w:jc w:val="center"/>
              <w:rPr/>
            </w:pPr>
            <w:r>
              <w:rPr/>
              <w:t>(RMB million)</w:t>
            </w:r>
          </w:p>
        </w:tc>
        <w:tc>
          <w:tcPr>
            <w:tcW w:w="80" w:type="dxa"/>
            <w:tcBorders/>
            <w:tcMar>
              <w:bottom w:w="0" w:type="dxa"/>
            </w:tcMar>
            <w:vAlign w:val="center"/>
          </w:tcPr>
          <w:p>
            <w:pPr>
              <w:pStyle w:val="TableContents"/>
              <w:bidi w:val="0"/>
              <w:spacing w:before="0" w:after="283"/>
              <w:jc w:val="left"/>
              <w:rPr/>
            </w:pPr>
            <w:r>
              <w:rPr/>
              <w:t> </w:t>
            </w:r>
          </w:p>
        </w:tc>
      </w:tr>
      <w:tr>
        <w:trPr/>
        <w:tc>
          <w:tcPr>
            <w:tcW w:w="44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2"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ind w:left="0" w:right="0" w:hanging="238"/>
              <w:jc w:val="left"/>
              <w:rPr/>
            </w:pPr>
            <w:r>
              <w:rPr/>
              <w:t> </w:t>
            </w:r>
          </w:p>
        </w:tc>
      </w:tr>
      <w:tr>
        <w:trPr/>
        <w:tc>
          <w:tcPr>
            <w:tcW w:w="4493" w:type="dxa"/>
            <w:tcBorders/>
            <w:shd w:fill="CCEEFF" w:val="clear"/>
            <w:tcMar>
              <w:bottom w:w="0" w:type="dxa"/>
            </w:tcMar>
            <w:vAlign w:val="center"/>
          </w:tcPr>
          <w:p>
            <w:pPr>
              <w:pStyle w:val="TableContents"/>
              <w:bidi w:val="0"/>
              <w:spacing w:before="0" w:after="283"/>
              <w:jc w:val="left"/>
              <w:rPr/>
            </w:pPr>
            <w:r>
              <w:rPr/>
              <w:t xml:space="preserve">Clinical development for other pipeline products, such as Lisaftoclax (APG-2575), APG-115, </w:t>
              <w:br/>
              <w:t>APG-1387 and APG-1252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32" w:type="dxa"/>
            <w:tcBorders/>
            <w:shd w:fill="CCEEFF" w:val="clear"/>
            <w:tcMar>
              <w:bottom w:w="0" w:type="dxa"/>
            </w:tcMar>
            <w:vAlign w:val="center"/>
          </w:tcPr>
          <w:p>
            <w:pPr>
              <w:pStyle w:val="TableContents"/>
              <w:bidi w:val="0"/>
              <w:spacing w:before="0" w:after="283"/>
              <w:jc w:val="right"/>
              <w:rPr/>
            </w:pPr>
            <w:r>
              <w:rPr/>
              <w:t>60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199" w:type="dxa"/>
            <w:tcBorders/>
            <w:shd w:fill="CCEEFF" w:val="clear"/>
            <w:tcMar>
              <w:bottom w:w="0" w:type="dxa"/>
            </w:tcMar>
            <w:vAlign w:val="center"/>
          </w:tcPr>
          <w:p>
            <w:pPr>
              <w:pStyle w:val="TableContents"/>
              <w:bidi w:val="0"/>
              <w:spacing w:before="0" w:after="283"/>
              <w:jc w:val="right"/>
              <w:rPr/>
            </w:pPr>
            <w:r>
              <w:rPr/>
              <w:t>413.5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345.0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54" w:type="dxa"/>
            <w:tcBorders/>
            <w:shd w:fill="CCEEFF" w:val="clear"/>
            <w:tcMar>
              <w:bottom w:w="0" w:type="dxa"/>
            </w:tcMar>
            <w:vAlign w:val="center"/>
          </w:tcPr>
          <w:p>
            <w:pPr>
              <w:pStyle w:val="TableContents"/>
              <w:bidi w:val="0"/>
              <w:spacing w:before="0" w:after="283"/>
              <w:jc w:val="right"/>
              <w:rPr/>
            </w:pPr>
            <w:r>
              <w:rPr/>
              <w:t>345.0</w:t>
            </w:r>
          </w:p>
        </w:tc>
        <w:tc>
          <w:tcPr>
            <w:tcW w:w="80"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493" w:type="dxa"/>
            <w:tcBorders/>
            <w:shd w:fill="FFFFFF" w:val="clear"/>
            <w:tcMar>
              <w:bottom w:w="0" w:type="dxa"/>
            </w:tcMar>
            <w:vAlign w:val="center"/>
          </w:tcPr>
          <w:p>
            <w:pPr>
              <w:pStyle w:val="TableContents"/>
              <w:bidi w:val="0"/>
              <w:spacing w:before="0" w:after="283"/>
              <w:jc w:val="left"/>
              <w:rPr/>
            </w:pPr>
            <w:r>
              <w:rPr/>
              <w:t>Registration, trial production and marketing of the Core Product, HQP1351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138.0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115.0</w:t>
            </w:r>
          </w:p>
        </w:tc>
        <w:tc>
          <w:tcPr>
            <w:tcW w:w="80"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493" w:type="dxa"/>
            <w:tcBorders/>
            <w:shd w:fill="CCEEFF" w:val="clear"/>
            <w:tcMar>
              <w:bottom w:w="0" w:type="dxa"/>
            </w:tcMar>
            <w:vAlign w:val="center"/>
          </w:tcPr>
          <w:p>
            <w:pPr>
              <w:pStyle w:val="TableContents"/>
              <w:bidi w:val="0"/>
              <w:spacing w:before="0" w:after="283"/>
              <w:jc w:val="left"/>
              <w:rPr/>
            </w:pPr>
            <w:r>
              <w:rPr/>
              <w:t>Ongoing and planned clinical trials of Lisaftoclax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832" w:type="dxa"/>
            <w:tcBorders>
              <w:bottom w:val="single" w:sz="12" w:space="0" w:color="000000"/>
            </w:tcBorders>
            <w:shd w:fill="CCEEFF" w:val="cle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199" w:type="dxa"/>
            <w:tcBorders>
              <w:bottom w:val="single" w:sz="12" w:space="0" w:color="000000"/>
            </w:tcBorders>
            <w:shd w:fill="CCEEFF" w:val="clear"/>
            <w:vAlign w:val="center"/>
          </w:tcPr>
          <w:p>
            <w:pPr>
              <w:pStyle w:val="TableContents"/>
              <w:bidi w:val="0"/>
              <w:spacing w:before="0" w:after="283"/>
              <w:jc w:val="right"/>
              <w:rPr/>
            </w:pPr>
            <w:r>
              <w:rPr/>
              <w:t>138.0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12" w:space="0" w:color="000000"/>
            </w:tcBorders>
            <w:shd w:fill="CCEEFF" w:val="clear"/>
            <w:vAlign w:val="center"/>
          </w:tcPr>
          <w:p>
            <w:pPr>
              <w:pStyle w:val="TableContents"/>
              <w:bidi w:val="0"/>
              <w:spacing w:before="0" w:after="283"/>
              <w:jc w:val="left"/>
              <w:rPr/>
            </w:pPr>
            <w:r>
              <w:rPr/>
              <w:t> </w:t>
            </w:r>
          </w:p>
        </w:tc>
        <w:tc>
          <w:tcPr>
            <w:tcW w:w="1253" w:type="dxa"/>
            <w:tcBorders>
              <w:bottom w:val="single" w:sz="12" w:space="0" w:color="000000"/>
            </w:tcBorders>
            <w:shd w:fill="CCEEFF" w:val="clear"/>
            <w:vAlign w:val="center"/>
          </w:tcPr>
          <w:p>
            <w:pPr>
              <w:pStyle w:val="TableContents"/>
              <w:bidi w:val="0"/>
              <w:spacing w:before="0" w:after="283"/>
              <w:jc w:val="right"/>
              <w:rPr/>
            </w:pPr>
            <w:r>
              <w:rPr/>
              <w:t>115.0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254" w:type="dxa"/>
            <w:tcBorders>
              <w:bottom w:val="single" w:sz="12" w:space="0" w:color="000000"/>
            </w:tcBorders>
            <w:shd w:fill="CCEEFF" w:val="clear"/>
            <w:vAlign w:val="center"/>
          </w:tcPr>
          <w:p>
            <w:pPr>
              <w:pStyle w:val="TableContents"/>
              <w:bidi w:val="0"/>
              <w:spacing w:before="0" w:after="283"/>
              <w:jc w:val="right"/>
              <w:rPr/>
            </w:pPr>
            <w:r>
              <w:rPr/>
              <w:t>115.0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4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32"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11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p>
        </w:tc>
        <w:tc>
          <w:tcPr>
            <w:tcW w:w="1254"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493"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bottom w:val="single" w:sz="12" w:space="0" w:color="000000"/>
            </w:tcBorders>
            <w:shd w:fill="CCEEFF" w:val="clear"/>
            <w:vAlign w:val="center"/>
          </w:tcPr>
          <w:p>
            <w:pPr>
              <w:pStyle w:val="TableContents"/>
              <w:bidi w:val="0"/>
              <w:spacing w:before="0" w:after="283"/>
              <w:jc w:val="left"/>
              <w:rPr/>
            </w:pPr>
            <w:r>
              <w:rPr/>
              <w:t> </w:t>
            </w:r>
          </w:p>
        </w:tc>
        <w:tc>
          <w:tcPr>
            <w:tcW w:w="832" w:type="dxa"/>
            <w:tcBorders>
              <w:bottom w:val="single" w:sz="12" w:space="0" w:color="000000"/>
            </w:tcBorders>
            <w:shd w:fill="CCEEFF" w:val="cle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199" w:type="dxa"/>
            <w:tcBorders>
              <w:bottom w:val="single" w:sz="12" w:space="0" w:color="000000"/>
            </w:tcBorders>
            <w:shd w:fill="CCEEFF" w:val="clear"/>
            <w:vAlign w:val="center"/>
          </w:tcPr>
          <w:p>
            <w:pPr>
              <w:pStyle w:val="TableContents"/>
              <w:bidi w:val="0"/>
              <w:spacing w:before="0" w:after="283"/>
              <w:jc w:val="right"/>
              <w:rPr/>
            </w:pPr>
            <w:r>
              <w:rPr/>
              <w:t>689.5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bottom w:val="single" w:sz="12" w:space="0" w:color="000000"/>
            </w:tcBorders>
            <w:shd w:fill="CCEEFF" w:val="clear"/>
            <w:vAlign w:val="center"/>
          </w:tcPr>
          <w:p>
            <w:pPr>
              <w:pStyle w:val="TableContents"/>
              <w:bidi w:val="0"/>
              <w:spacing w:before="0" w:after="283"/>
              <w:jc w:val="left"/>
              <w:rPr/>
            </w:pPr>
            <w:r>
              <w:rPr/>
              <w:t> </w:t>
            </w:r>
          </w:p>
        </w:tc>
        <w:tc>
          <w:tcPr>
            <w:tcW w:w="1253" w:type="dxa"/>
            <w:tcBorders>
              <w:bottom w:val="single" w:sz="12" w:space="0" w:color="000000"/>
            </w:tcBorders>
            <w:shd w:fill="CCEEFF" w:val="clear"/>
            <w:vAlign w:val="center"/>
          </w:tcPr>
          <w:p>
            <w:pPr>
              <w:pStyle w:val="TableContents"/>
              <w:bidi w:val="0"/>
              <w:spacing w:before="0" w:after="283"/>
              <w:jc w:val="right"/>
              <w:rPr/>
            </w:pPr>
            <w:r>
              <w:rPr/>
              <w:t>575.0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254" w:type="dxa"/>
            <w:tcBorders>
              <w:bottom w:val="single" w:sz="12" w:space="0" w:color="000000"/>
            </w:tcBorders>
            <w:shd w:fill="CCEEFF" w:val="clear"/>
            <w:vAlign w:val="center"/>
          </w:tcPr>
          <w:p>
            <w:pPr>
              <w:pStyle w:val="TableContents"/>
              <w:bidi w:val="0"/>
              <w:spacing w:before="0" w:after="283"/>
              <w:jc w:val="right"/>
              <w:rPr/>
            </w:pPr>
            <w:r>
              <w:rPr/>
              <w:t>575.0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Net proceeds from the 2020 Placing were received in Hong Kong dollars and translated to RMB for application planning. The plan was adjusted slightly due to the fluctuation of the exchange rate since the 2020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2021 Placing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2021, the Company entered into the 2021 Placing and subscription agreement with Ascentage Limited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and China International Capital Corporation Hong Kong Securities Limited (the “</w:t>
      </w:r>
      <w:r>
        <w:rPr>
          <w:rFonts w:ascii="Times New Roman;Times;Serif" w:hAnsi="Times New Roman;Times;Serif"/>
          <w:b/>
          <w:i w:val="false"/>
          <w:caps w:val="false"/>
          <w:smallCaps w:val="false"/>
          <w:sz w:val="20"/>
        </w:rPr>
        <w:t>2021 Placing Agents</w:t>
      </w:r>
      <w:r>
        <w:rPr>
          <w:rFonts w:ascii="Times New Roman;Times;Serif" w:hAnsi="Times New Roman;Times;Serif"/>
          <w:b w:val="false"/>
          <w:i w:val="false"/>
          <w:caps w:val="false"/>
          <w:smallCaps w:val="false"/>
          <w:sz w:val="20"/>
        </w:rPr>
        <w:t>”), pursuant to which (i) the Vendor agreed to appoint the 2021 Placing Agents, and the 2021 Placing Agents agreed to act as agents of the Vendor to procure not less than six placees (the “</w:t>
      </w:r>
      <w:r>
        <w:rPr>
          <w:rFonts w:ascii="Times New Roman;Times;Serif" w:hAnsi="Times New Roman;Times;Serif"/>
          <w:b/>
          <w:i w:val="false"/>
          <w:caps w:val="false"/>
          <w:smallCaps w:val="false"/>
          <w:sz w:val="20"/>
        </w:rPr>
        <w:t>2021 Placees</w:t>
      </w:r>
      <w:r>
        <w:rPr>
          <w:rFonts w:ascii="Times New Roman;Times;Serif" w:hAnsi="Times New Roman;Times;Serif"/>
          <w:b w:val="false"/>
          <w:i w:val="false"/>
          <w:caps w:val="false"/>
          <w:smallCaps w:val="false"/>
          <w:sz w:val="20"/>
        </w:rPr>
        <w:t>”), on a best effort basis, to purchase up to 26,500,000 shares of the Company (the “</w:t>
      </w:r>
      <w:r>
        <w:rPr>
          <w:rFonts w:ascii="Times New Roman;Times;Serif" w:hAnsi="Times New Roman;Times;Serif"/>
          <w:b/>
          <w:i w:val="false"/>
          <w:caps w:val="false"/>
          <w:smallCaps w:val="false"/>
          <w:sz w:val="20"/>
        </w:rPr>
        <w:t>2021 Placing Shares</w:t>
      </w:r>
      <w:r>
        <w:rPr>
          <w:rFonts w:ascii="Times New Roman;Times;Serif" w:hAnsi="Times New Roman;Times;Serif"/>
          <w:b w:val="false"/>
          <w:i w:val="false"/>
          <w:caps w:val="false"/>
          <w:smallCaps w:val="false"/>
          <w:sz w:val="20"/>
        </w:rPr>
        <w:t>”) at the price of HK$44.2 per 2021 Placing Share; and (ii) the Vendor agreed to subscribe for, and the Company agreed to issue to the Vendor up to 26,500,000 new shares of the Company at the price of HK$44.2 per Subscription Share (the “</w:t>
      </w:r>
      <w:r>
        <w:rPr>
          <w:rFonts w:ascii="Times New Roman;Times;Serif" w:hAnsi="Times New Roman;Times;Serif"/>
          <w:b/>
          <w:i w:val="false"/>
          <w:caps w:val="false"/>
          <w:smallCaps w:val="false"/>
          <w:sz w:val="20"/>
        </w:rPr>
        <w:t>2021 Subscription</w:t>
      </w:r>
      <w:r>
        <w:rPr>
          <w:rFonts w:ascii="Times New Roman;Times;Serif" w:hAnsi="Times New Roman;Times;Serif"/>
          <w:b w:val="false"/>
          <w:i w:val="false"/>
          <w:caps w:val="false"/>
          <w:smallCaps w:val="false"/>
          <w:sz w:val="20"/>
        </w:rPr>
        <w:t>”). The closing of the 2021 Placing took place on February 8, 2021 and the closing of the 2021 Subscription took place on February 11, 2021. A total of 26,500,000 placing Shares have been successfully placed by the 2021 Placing Agents to the 2021 Placees. A total of 26,500,000 subscription Shares had been allotted and issued to the Vendor pursuant to the general mandate granted to the Directors at the AGM held on June 19, 2020. The net proceeds (after the deduction of all applicable costs and expenses) raised from the 2021 Placing were approximately HK$1,153.64 million. There was no change in the intended use of the net proceeds as previously disclosed in the relevant announcement of the Company dated February 3, 2021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2021 Placing represents an opportunity to raise capital for the Company in order to enable the Company to continue the development of its products in its pipeline, while broadening its Shareholder base. The Directors are of the view that the 2021 Placing would further strengthen the financial position of the Group and provide additional working capital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2021 Placing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23"/>
        <w:gridCol w:w="60"/>
        <w:gridCol w:w="122"/>
        <w:gridCol w:w="777"/>
        <w:gridCol w:w="215"/>
        <w:gridCol w:w="60"/>
        <w:gridCol w:w="96"/>
        <w:gridCol w:w="1207"/>
        <w:gridCol w:w="60"/>
        <w:gridCol w:w="60"/>
        <w:gridCol w:w="130"/>
        <w:gridCol w:w="1232"/>
        <w:gridCol w:w="60"/>
        <w:gridCol w:w="60"/>
        <w:gridCol w:w="129"/>
        <w:gridCol w:w="1233"/>
        <w:gridCol w:w="81"/>
      </w:tblGrid>
      <w:tr>
        <w:trPr/>
        <w:tc>
          <w:tcPr>
            <w:tcW w:w="4623"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center"/>
              <w:rPr/>
            </w:pPr>
            <w:r>
              <w:rPr/>
              <w:t> </w:t>
            </w:r>
          </w:p>
        </w:tc>
        <w:tc>
          <w:tcPr>
            <w:tcW w:w="89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03"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1" w:type="dxa"/>
            <w:tcBorders/>
            <w:tcMar>
              <w:bottom w:w="0" w:type="dxa"/>
            </w:tcMar>
            <w:vAlign w:val="center"/>
          </w:tcPr>
          <w:p>
            <w:pPr>
              <w:pStyle w:val="TableContents"/>
              <w:bidi w:val="0"/>
              <w:spacing w:before="0" w:after="283"/>
              <w:jc w:val="center"/>
              <w:rPr/>
            </w:pPr>
            <w:r>
              <w:rPr/>
              <w:t> </w:t>
            </w:r>
          </w:p>
        </w:tc>
      </w:tr>
      <w:tr>
        <w:trPr/>
        <w:tc>
          <w:tcPr>
            <w:tcW w:w="46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9"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03" w:type="dxa"/>
            <w:gridSpan w:val="2"/>
            <w:tcBorders/>
            <w:tcMar>
              <w:bottom w:w="0" w:type="dxa"/>
            </w:tcMar>
            <w:vAlign w:val="center"/>
          </w:tcPr>
          <w:p>
            <w:pPr>
              <w:pStyle w:val="TableContents"/>
              <w:bidi w:val="0"/>
              <w:spacing w:before="0" w:after="283"/>
              <w:jc w:val="center"/>
              <w:rPr/>
            </w:pPr>
            <w:r>
              <w:rPr/>
              <w:t>(HK$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2"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62" w:type="dxa"/>
            <w:gridSpan w:val="2"/>
            <w:tcBorders/>
            <w:tcMar>
              <w:bottom w:w="0" w:type="dxa"/>
            </w:tcMar>
            <w:vAlign w:val="center"/>
          </w:tcPr>
          <w:p>
            <w:pPr>
              <w:pStyle w:val="TableContents"/>
              <w:bidi w:val="0"/>
              <w:spacing w:before="0" w:after="283"/>
              <w:jc w:val="center"/>
              <w:rPr/>
            </w:pPr>
            <w:r>
              <w:rPr/>
              <w:t>(RMB million)</w:t>
            </w:r>
          </w:p>
        </w:tc>
        <w:tc>
          <w:tcPr>
            <w:tcW w:w="81" w:type="dxa"/>
            <w:tcBorders/>
            <w:tcMar>
              <w:bottom w:w="0" w:type="dxa"/>
            </w:tcMar>
            <w:vAlign w:val="center"/>
          </w:tcPr>
          <w:p>
            <w:pPr>
              <w:pStyle w:val="TableContents"/>
              <w:bidi w:val="0"/>
              <w:spacing w:before="0" w:after="283"/>
              <w:jc w:val="center"/>
              <w:rPr/>
            </w:pPr>
            <w:r>
              <w:rPr/>
              <w:t> </w:t>
            </w:r>
          </w:p>
        </w:tc>
      </w:tr>
      <w:tr>
        <w:trPr/>
        <w:tc>
          <w:tcPr>
            <w:tcW w:w="462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9"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3"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2"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2" w:type="dxa"/>
            <w:gridSpan w:val="2"/>
            <w:tcBorders/>
            <w:tcMar>
              <w:bottom w:w="0" w:type="dxa"/>
            </w:tcMar>
            <w:vAlign w:val="center"/>
          </w:tcPr>
          <w:p>
            <w:pPr>
              <w:pStyle w:val="TableContents"/>
              <w:bidi w:val="0"/>
              <w:spacing w:before="0" w:after="283"/>
              <w:jc w:val="right"/>
              <w:rPr/>
            </w:pPr>
            <w:r>
              <w:rPr/>
              <w:t> </w:t>
            </w:r>
          </w:p>
        </w:tc>
        <w:tc>
          <w:tcPr>
            <w:tcW w:w="81" w:type="dxa"/>
            <w:tcBorders/>
            <w:tcMar>
              <w:bottom w:w="0" w:type="dxa"/>
            </w:tcMar>
            <w:vAlign w:val="center"/>
          </w:tcPr>
          <w:p>
            <w:pPr>
              <w:pStyle w:val="TableContents"/>
              <w:bidi w:val="0"/>
              <w:spacing w:before="0" w:after="283"/>
              <w:ind w:left="0" w:right="0" w:hanging="238"/>
              <w:jc w:val="left"/>
              <w:rPr/>
            </w:pPr>
            <w:r>
              <w:rPr/>
              <w:t> </w:t>
            </w:r>
          </w:p>
        </w:tc>
      </w:tr>
      <w:tr>
        <w:trPr/>
        <w:tc>
          <w:tcPr>
            <w:tcW w:w="4623" w:type="dxa"/>
            <w:tcBorders/>
            <w:shd w:fill="CCEEFF" w:val="clear"/>
            <w:tcMar>
              <w:bottom w:w="0" w:type="dxa"/>
            </w:tcMar>
            <w:vAlign w:val="center"/>
          </w:tcPr>
          <w:p>
            <w:pPr>
              <w:pStyle w:val="TableContents"/>
              <w:bidi w:val="0"/>
              <w:spacing w:before="0" w:after="283"/>
              <w:jc w:val="left"/>
              <w:rPr/>
            </w:pPr>
            <w:r>
              <w:rPr/>
              <w:t>Clinical development of the key product candidate,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576.8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480.6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480.6</w:t>
            </w:r>
          </w:p>
        </w:tc>
        <w:tc>
          <w:tcPr>
            <w:tcW w:w="81"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623" w:type="dxa"/>
            <w:tcBorders/>
            <w:shd w:fill="FFFFFF" w:val="clear"/>
            <w:tcMar>
              <w:bottom w:w="0" w:type="dxa"/>
            </w:tcMar>
            <w:vAlign w:val="center"/>
          </w:tcPr>
          <w:p>
            <w:pPr>
              <w:pStyle w:val="TableContents"/>
              <w:bidi w:val="0"/>
              <w:spacing w:before="0" w:after="283"/>
              <w:jc w:val="left"/>
              <w:rPr/>
            </w:pPr>
            <w:r>
              <w:rPr/>
              <w:t>Registrational trials for full approval and the commercialization of the Core Product, HQP1351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07" w:type="dxa"/>
            <w:tcBorders/>
            <w:shd w:fill="FFFFFF" w:val="clear"/>
            <w:tcMar>
              <w:bottom w:w="0" w:type="dxa"/>
            </w:tcMar>
            <w:vAlign w:val="center"/>
          </w:tcPr>
          <w:p>
            <w:pPr>
              <w:pStyle w:val="TableContents"/>
              <w:bidi w:val="0"/>
              <w:spacing w:before="0" w:after="283"/>
              <w:jc w:val="right"/>
              <w:rPr/>
            </w:pPr>
            <w:r>
              <w:rPr/>
              <w:t>230.7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232" w:type="dxa"/>
            <w:tcBorders/>
            <w:shd w:fill="FFFFFF" w:val="clear"/>
            <w:tcMar>
              <w:bottom w:w="0" w:type="dxa"/>
            </w:tcMar>
            <w:vAlign w:val="center"/>
          </w:tcPr>
          <w:p>
            <w:pPr>
              <w:pStyle w:val="TableContents"/>
              <w:bidi w:val="0"/>
              <w:spacing w:before="0" w:after="283"/>
              <w:jc w:val="right"/>
              <w:rPr/>
            </w:pPr>
            <w:r>
              <w:rPr/>
              <w:t>192.2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33" w:type="dxa"/>
            <w:tcBorders/>
            <w:shd w:fill="FFFFFF" w:val="clear"/>
            <w:tcMar>
              <w:bottom w:w="0" w:type="dxa"/>
            </w:tcMar>
            <w:vAlign w:val="center"/>
          </w:tcPr>
          <w:p>
            <w:pPr>
              <w:pStyle w:val="TableContents"/>
              <w:bidi w:val="0"/>
              <w:spacing w:before="0" w:after="283"/>
              <w:jc w:val="right"/>
              <w:rPr/>
            </w:pPr>
            <w:r>
              <w:rPr/>
              <w:t>192.2</w:t>
            </w:r>
          </w:p>
        </w:tc>
        <w:tc>
          <w:tcPr>
            <w:tcW w:w="81"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623" w:type="dxa"/>
            <w:tcBorders/>
            <w:shd w:fill="CCEEFF" w:val="clear"/>
            <w:tcMar>
              <w:bottom w:w="0" w:type="dxa"/>
            </w:tcMar>
            <w:vAlign w:val="center"/>
          </w:tcPr>
          <w:p>
            <w:pPr>
              <w:pStyle w:val="TableContents"/>
              <w:bidi w:val="0"/>
              <w:spacing w:before="0" w:after="283"/>
              <w:jc w:val="left"/>
              <w:rPr/>
            </w:pPr>
            <w:r>
              <w:rPr/>
              <w:t>Clinical development for other pipeline products such as APG-115 (MDM2-p53 inhibitors currently in Phase Ib/II clinical trial), APG-1387 (pan-IAP inhibitor currently in Phase Ib/II clinical trial) and APG-1252 (Bcl-2/Bcl-xL dual inhibitor currently in Phase I clinical trial)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230.7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192.2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192.2</w:t>
            </w:r>
          </w:p>
        </w:tc>
        <w:tc>
          <w:tcPr>
            <w:tcW w:w="81"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623" w:type="dxa"/>
            <w:tcBorders/>
            <w:shd w:fill="FFFFFF" w:val="clear"/>
            <w:tcMar>
              <w:bottom w:w="0" w:type="dxa"/>
            </w:tcMar>
            <w:vAlign w:val="center"/>
          </w:tcPr>
          <w:p>
            <w:pPr>
              <w:pStyle w:val="TableContents"/>
              <w:bidi w:val="0"/>
              <w:spacing w:before="0" w:after="283"/>
              <w:jc w:val="left"/>
              <w:rPr/>
            </w:pPr>
            <w:r>
              <w:rPr/>
              <w:t>General corporate purposes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115.4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232" w:type="dxa"/>
            <w:tcBorders>
              <w:bottom w:val="single" w:sz="12" w:space="0" w:color="000000"/>
            </w:tcBorders>
            <w:shd w:fill="FFFFFF" w:val="clear"/>
            <w:vAlign w:val="center"/>
          </w:tcPr>
          <w:p>
            <w:pPr>
              <w:pStyle w:val="TableContents"/>
              <w:bidi w:val="0"/>
              <w:spacing w:before="0" w:after="283"/>
              <w:jc w:val="right"/>
              <w:rPr/>
            </w:pPr>
            <w:r>
              <w:rPr/>
              <w:t>96.1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vAlign w:val="center"/>
          </w:tcPr>
          <w:p>
            <w:pPr>
              <w:pStyle w:val="TableContents"/>
              <w:bidi w:val="0"/>
              <w:spacing w:before="0" w:after="283"/>
              <w:jc w:val="right"/>
              <w:rPr/>
            </w:pPr>
            <w:r>
              <w:rPr/>
              <w:t>96.1</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462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0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3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33" w:type="dxa"/>
            <w:tcBorders/>
            <w:shd w:fill="CCEEFF" w:val="clear"/>
            <w:tcMar>
              <w:bottom w:w="0" w:type="dxa"/>
            </w:tcMar>
            <w:vAlign w:val="center"/>
          </w:tcPr>
          <w:p>
            <w:pPr>
              <w:pStyle w:val="TableContents"/>
              <w:bidi w:val="0"/>
              <w:spacing w:before="0" w:after="283"/>
              <w:jc w:val="right"/>
              <w:rPr/>
            </w:pPr>
            <w:r>
              <w:rPr/>
              <w:t> </w:t>
            </w:r>
          </w:p>
        </w:tc>
        <w:tc>
          <w:tcPr>
            <w:tcW w:w="81"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623"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77" w:type="dxa"/>
            <w:tcBorders>
              <w:bottom w:val="single" w:sz="12" w:space="0" w:color="000000"/>
            </w:tcBorders>
            <w:shd w:fill="FFFFFF" w:val="cle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vAlign w:val="center"/>
          </w:tcPr>
          <w:p>
            <w:pPr>
              <w:pStyle w:val="TableContents"/>
              <w:bidi w:val="0"/>
              <w:spacing w:before="0" w:after="283"/>
              <w:jc w:val="right"/>
              <w:rPr/>
            </w:pPr>
            <w:r>
              <w:rPr/>
              <w:t>1,153.6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232" w:type="dxa"/>
            <w:tcBorders>
              <w:bottom w:val="single" w:sz="12" w:space="0" w:color="000000"/>
            </w:tcBorders>
            <w:shd w:fill="FFFFFF" w:val="clear"/>
            <w:vAlign w:val="center"/>
          </w:tcPr>
          <w:p>
            <w:pPr>
              <w:pStyle w:val="TableContents"/>
              <w:bidi w:val="0"/>
              <w:spacing w:before="0" w:after="283"/>
              <w:jc w:val="right"/>
              <w:rPr/>
            </w:pPr>
            <w:r>
              <w:rPr/>
              <w:t>961.1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33" w:type="dxa"/>
            <w:tcBorders>
              <w:bottom w:val="single" w:sz="12" w:space="0" w:color="000000"/>
            </w:tcBorders>
            <w:shd w:fill="FFFFFF" w:val="clear"/>
            <w:vAlign w:val="center"/>
          </w:tcPr>
          <w:p>
            <w:pPr>
              <w:pStyle w:val="TableContents"/>
              <w:bidi w:val="0"/>
              <w:spacing w:before="0" w:after="283"/>
              <w:jc w:val="right"/>
              <w:rPr/>
            </w:pPr>
            <w:r>
              <w:rPr/>
              <w:t>961.1</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56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Net proceeds from the 2021 Placing were received in Hong Kong dollars and translated to RMB for application planning. The plan was adjusted slightly due to the fluctuation of the exchange rate since the 2021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2023 Placing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18, 2023, the Company entered into the 2023 Placing Agreement with Ascentage Limited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China International Capital Corporation Hong Kong Securities Limited and Citigroup Global Markets Asia Limited (the “</w:t>
      </w:r>
      <w:r>
        <w:rPr>
          <w:rFonts w:ascii="Times New Roman;Times;Serif" w:hAnsi="Times New Roman;Times;Serif"/>
          <w:b/>
          <w:i w:val="false"/>
          <w:caps w:val="false"/>
          <w:smallCaps w:val="false"/>
          <w:sz w:val="20"/>
        </w:rPr>
        <w:t>2023 Placing Agents</w:t>
      </w:r>
      <w:r>
        <w:rPr>
          <w:rFonts w:ascii="Times New Roman;Times;Serif" w:hAnsi="Times New Roman;Times;Serif"/>
          <w:b w:val="false"/>
          <w:i w:val="false"/>
          <w:caps w:val="false"/>
          <w:smallCaps w:val="false"/>
          <w:sz w:val="20"/>
        </w:rPr>
        <w:t>”), pursuant to which (i) the Vendor agreed to appoint the 2023 Placing Agents, and the 2023 Placing Agents agreed to act as agents of the Vendor, to procure not less than six placees (the “</w:t>
      </w:r>
      <w:r>
        <w:rPr>
          <w:rFonts w:ascii="Times New Roman;Times;Serif" w:hAnsi="Times New Roman;Times;Serif"/>
          <w:b/>
          <w:i w:val="false"/>
          <w:caps w:val="false"/>
          <w:smallCaps w:val="false"/>
          <w:sz w:val="20"/>
        </w:rPr>
        <w:t>2023 Placees</w:t>
      </w:r>
      <w:r>
        <w:rPr>
          <w:rFonts w:ascii="Times New Roman;Times;Serif" w:hAnsi="Times New Roman;Times;Serif"/>
          <w:b w:val="false"/>
          <w:i w:val="false"/>
          <w:caps w:val="false"/>
          <w:smallCaps w:val="false"/>
          <w:sz w:val="20"/>
        </w:rPr>
        <w:t>”), on a best effort basis, to purchase up to 22,500,000 shares of the Company (the “</w:t>
      </w:r>
      <w:r>
        <w:rPr>
          <w:rFonts w:ascii="Times New Roman;Times;Serif" w:hAnsi="Times New Roman;Times;Serif"/>
          <w:b/>
          <w:i w:val="false"/>
          <w:caps w:val="false"/>
          <w:smallCaps w:val="false"/>
          <w:sz w:val="20"/>
        </w:rPr>
        <w:t>2023 Placing Shares</w:t>
      </w:r>
      <w:r>
        <w:rPr>
          <w:rFonts w:ascii="Times New Roman;Times;Serif" w:hAnsi="Times New Roman;Times;Serif"/>
          <w:b w:val="false"/>
          <w:i w:val="false"/>
          <w:caps w:val="false"/>
          <w:smallCaps w:val="false"/>
          <w:sz w:val="20"/>
        </w:rPr>
        <w:t>”) at the price of HK$24.45 per 2023 Placing Share; and (ii) the Vendor agreed to subscribe for, and the Company agreed to issue to the Vendor up to 22,500,000 new shares of the Company at the price of HK$24.45 per Subscription Share (the “</w:t>
      </w:r>
      <w:r>
        <w:rPr>
          <w:rFonts w:ascii="Times New Roman;Times;Serif" w:hAnsi="Times New Roman;Times;Serif"/>
          <w:b/>
          <w:i w:val="false"/>
          <w:caps w:val="false"/>
          <w:smallCaps w:val="false"/>
          <w:sz w:val="20"/>
        </w:rPr>
        <w:t>2023 Subscription</w:t>
      </w:r>
      <w:r>
        <w:rPr>
          <w:rFonts w:ascii="Times New Roman;Times;Serif" w:hAnsi="Times New Roman;Times;Serif"/>
          <w:b w:val="false"/>
          <w:i w:val="false"/>
          <w:caps w:val="false"/>
          <w:smallCaps w:val="false"/>
          <w:sz w:val="20"/>
        </w:rPr>
        <w:t>”). The closing of the 2023 Placing took place on January 20, 2023 and the closing of the 2023 Subscription took place on February 1, 2023. A total of 22,500,000 placing Shares have been successfully placed by the 2023 Placing Agents to the 2023 Placees. A total of 22,500,000 subscription Shares have been allotted and issued to the Vendor pursuant to the general mandate granted to the Directors by the Shareholders at the annual general meeting of the Company held on May 19, 2022. The net proceeds (after the deduction of all applicable costs and expenses) raised from the 2023 Placing were approximately HK$543.9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January 18, 2023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2023 Placing represents an opportunity to further raise capital for the Company in order to enable the Company to continue the development of its pipeline candidates, while broadening its Shareholder base. The Directors are of the view that the 2023 Placing would further strengthen the financial position of the Group and provide additional working capital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2023 Placing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29"/>
        <w:gridCol w:w="60"/>
        <w:gridCol w:w="143"/>
        <w:gridCol w:w="911"/>
        <w:gridCol w:w="215"/>
        <w:gridCol w:w="60"/>
        <w:gridCol w:w="124"/>
        <w:gridCol w:w="1174"/>
        <w:gridCol w:w="60"/>
        <w:gridCol w:w="60"/>
        <w:gridCol w:w="129"/>
        <w:gridCol w:w="1220"/>
        <w:gridCol w:w="60"/>
        <w:gridCol w:w="60"/>
        <w:gridCol w:w="125"/>
        <w:gridCol w:w="1196"/>
        <w:gridCol w:w="79"/>
      </w:tblGrid>
      <w:tr>
        <w:trPr/>
        <w:tc>
          <w:tcPr>
            <w:tcW w:w="4529"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1"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9" w:type="dxa"/>
            <w:tcBorders/>
            <w:tcMar>
              <w:bottom w:w="0" w:type="dxa"/>
            </w:tcMar>
            <w:vAlign w:val="center"/>
          </w:tcPr>
          <w:p>
            <w:pPr>
              <w:pStyle w:val="TableContents"/>
              <w:bidi w:val="0"/>
              <w:spacing w:before="0" w:after="283"/>
              <w:jc w:val="left"/>
              <w:rPr/>
            </w:pPr>
            <w:r>
              <w:rPr/>
              <w:t> </w:t>
            </w:r>
          </w:p>
        </w:tc>
      </w:tr>
      <w:tr>
        <w:trPr/>
        <w:tc>
          <w:tcPr>
            <w:tcW w:w="4529"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8" w:type="dxa"/>
            <w:gridSpan w:val="2"/>
            <w:tcBorders/>
            <w:tcMar>
              <w:bottom w:w="0" w:type="dxa"/>
            </w:tcMar>
            <w:vAlign w:val="center"/>
          </w:tcPr>
          <w:p>
            <w:pPr>
              <w:pStyle w:val="TableContents"/>
              <w:bidi w:val="0"/>
              <w:spacing w:before="0" w:after="283"/>
              <w:jc w:val="center"/>
              <w:rPr/>
            </w:pPr>
            <w:r>
              <w:rPr/>
              <w:t>(HK$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9"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1" w:type="dxa"/>
            <w:gridSpan w:val="2"/>
            <w:tcBorders/>
            <w:tcMar>
              <w:bottom w:w="0" w:type="dxa"/>
            </w:tcMar>
            <w:vAlign w:val="center"/>
          </w:tcPr>
          <w:p>
            <w:pPr>
              <w:pStyle w:val="TableContents"/>
              <w:bidi w:val="0"/>
              <w:spacing w:before="0" w:after="283"/>
              <w:jc w:val="center"/>
              <w:rPr/>
            </w:pPr>
            <w:r>
              <w:rPr/>
              <w:t>(RMB million)</w:t>
            </w:r>
          </w:p>
        </w:tc>
        <w:tc>
          <w:tcPr>
            <w:tcW w:w="79" w:type="dxa"/>
            <w:tcBorders/>
            <w:tcMar>
              <w:bottom w:w="0" w:type="dxa"/>
            </w:tcMar>
            <w:vAlign w:val="center"/>
          </w:tcPr>
          <w:p>
            <w:pPr>
              <w:pStyle w:val="TableContents"/>
              <w:bidi w:val="0"/>
              <w:spacing w:before="0" w:after="283"/>
              <w:jc w:val="left"/>
              <w:rPr/>
            </w:pPr>
            <w:r>
              <w:rPr/>
              <w:t> </w:t>
            </w:r>
          </w:p>
        </w:tc>
      </w:tr>
      <w:tr>
        <w:trPr/>
        <w:tc>
          <w:tcPr>
            <w:tcW w:w="452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1" w:type="dxa"/>
            <w:gridSpan w:val="2"/>
            <w:tcBorders/>
            <w:tcMar>
              <w:bottom w:w="0" w:type="dxa"/>
            </w:tcMar>
            <w:vAlign w:val="center"/>
          </w:tcPr>
          <w:p>
            <w:pPr>
              <w:pStyle w:val="TableContents"/>
              <w:bidi w:val="0"/>
              <w:spacing w:before="0" w:after="283"/>
              <w:jc w:val="right"/>
              <w:rPr/>
            </w:pPr>
            <w:r>
              <w:rPr/>
              <w:t> </w:t>
            </w:r>
          </w:p>
        </w:tc>
        <w:tc>
          <w:tcPr>
            <w:tcW w:w="79" w:type="dxa"/>
            <w:tcBorders/>
            <w:tcMar>
              <w:bottom w:w="0" w:type="dxa"/>
            </w:tcMar>
            <w:vAlign w:val="center"/>
          </w:tcPr>
          <w:p>
            <w:pPr>
              <w:pStyle w:val="TableContents"/>
              <w:bidi w:val="0"/>
              <w:spacing w:before="0" w:after="283"/>
              <w:ind w:left="0" w:right="0" w:hanging="238"/>
              <w:jc w:val="left"/>
              <w:rPr/>
            </w:pPr>
            <w:r>
              <w:rPr/>
              <w:t> </w:t>
            </w:r>
          </w:p>
        </w:tc>
      </w:tr>
      <w:tr>
        <w:trPr/>
        <w:tc>
          <w:tcPr>
            <w:tcW w:w="4529" w:type="dxa"/>
            <w:tcBorders/>
            <w:shd w:fill="CCEEFF" w:val="clear"/>
            <w:tcMar>
              <w:bottom w:w="0" w:type="dxa"/>
            </w:tcMar>
            <w:vAlign w:val="center"/>
          </w:tcPr>
          <w:p>
            <w:pPr>
              <w:pStyle w:val="TableContents"/>
              <w:bidi w:val="0"/>
              <w:spacing w:before="0" w:after="283"/>
              <w:jc w:val="left"/>
              <w:rPr/>
            </w:pPr>
            <w:r>
              <w:rPr/>
              <w:t xml:space="preserve">Clinical trials of the key product candidate </w:t>
              <w:br/>
              <w:t>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50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272.0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235.1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235.1</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529" w:type="dxa"/>
            <w:tcBorders/>
            <w:shd w:fill="FFFFFF" w:val="clear"/>
            <w:tcMar>
              <w:bottom w:w="0" w:type="dxa"/>
            </w:tcMar>
            <w:vAlign w:val="center"/>
          </w:tcPr>
          <w:p>
            <w:pPr>
              <w:pStyle w:val="TableContents"/>
              <w:bidi w:val="0"/>
              <w:spacing w:before="0" w:after="283"/>
              <w:jc w:val="left"/>
              <w:rPr/>
            </w:pPr>
            <w:r>
              <w:rPr/>
              <w:t>Clinical trials of the core product HQP1351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911"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1174" w:type="dxa"/>
            <w:tcBorders/>
            <w:shd w:fill="FFFFFF" w:val="clear"/>
            <w:tcMar>
              <w:bottom w:w="0" w:type="dxa"/>
            </w:tcMar>
            <w:vAlign w:val="center"/>
          </w:tcPr>
          <w:p>
            <w:pPr>
              <w:pStyle w:val="TableContents"/>
              <w:bidi w:val="0"/>
              <w:spacing w:before="0" w:after="283"/>
              <w:jc w:val="right"/>
              <w:rPr/>
            </w:pPr>
            <w:r>
              <w:rPr/>
              <w:t>108.8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94.0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96" w:type="dxa"/>
            <w:tcBorders/>
            <w:shd w:fill="FFFFFF" w:val="clear"/>
            <w:tcMar>
              <w:bottom w:w="0" w:type="dxa"/>
            </w:tcMar>
            <w:vAlign w:val="center"/>
          </w:tcPr>
          <w:p>
            <w:pPr>
              <w:pStyle w:val="TableContents"/>
              <w:bidi w:val="0"/>
              <w:spacing w:before="0" w:after="283"/>
              <w:jc w:val="right"/>
              <w:rPr/>
            </w:pPr>
            <w:r>
              <w:rPr/>
              <w:t>94.0</w:t>
            </w:r>
          </w:p>
        </w:tc>
        <w:tc>
          <w:tcPr>
            <w:tcW w:w="79" w:type="dxa"/>
            <w:tcBorders/>
            <w:shd w:fill="FFFFFF" w:val="clear"/>
            <w:tcMar>
              <w:bottom w:w="0" w:type="dxa"/>
            </w:tcMar>
            <w:vAlign w:val="center"/>
          </w:tcPr>
          <w:p>
            <w:pPr>
              <w:pStyle w:val="TableContents"/>
              <w:bidi w:val="0"/>
              <w:spacing w:before="0" w:after="283"/>
              <w:ind w:left="0" w:right="0" w:hanging="238"/>
              <w:jc w:val="left"/>
              <w:rPr/>
            </w:pPr>
            <w:r>
              <w:rPr/>
              <w:t> </w:t>
            </w:r>
          </w:p>
        </w:tc>
      </w:tr>
      <w:tr>
        <w:trPr/>
        <w:tc>
          <w:tcPr>
            <w:tcW w:w="4529" w:type="dxa"/>
            <w:tcBorders/>
            <w:shd w:fill="CCEEFF" w:val="clear"/>
            <w:tcMar>
              <w:bottom w:w="0" w:type="dxa"/>
            </w:tcMar>
            <w:vAlign w:val="center"/>
          </w:tcPr>
          <w:p>
            <w:pPr>
              <w:pStyle w:val="TableContents"/>
              <w:bidi w:val="0"/>
              <w:spacing w:before="0" w:after="283"/>
              <w:jc w:val="left"/>
              <w:rPr/>
            </w:pPr>
            <w:r>
              <w:rPr/>
              <w:t>Clinical development of other key product candidates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20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108.8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94.0</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529" w:type="dxa"/>
            <w:tcBorders/>
            <w:shd w:fill="FFFFFF" w:val="clear"/>
            <w:tcMar>
              <w:bottom w:w="0" w:type="dxa"/>
            </w:tcMar>
            <w:vAlign w:val="center"/>
          </w:tcPr>
          <w:p>
            <w:pPr>
              <w:pStyle w:val="TableContents"/>
              <w:bidi w:val="0"/>
              <w:spacing w:before="0" w:after="283"/>
              <w:jc w:val="left"/>
              <w:rPr/>
            </w:pPr>
            <w:r>
              <w:rPr/>
              <w:t>General corporate purposes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911" w:type="dxa"/>
            <w:tcBorders>
              <w:bottom w:val="single" w:sz="12" w:space="0" w:color="000000"/>
            </w:tcBorders>
            <w:shd w:fill="FFFFFF" w:val="cle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1174" w:type="dxa"/>
            <w:tcBorders>
              <w:bottom w:val="single" w:sz="12" w:space="0" w:color="000000"/>
            </w:tcBorders>
            <w:shd w:fill="FFFFFF" w:val="clear"/>
            <w:vAlign w:val="center"/>
          </w:tcPr>
          <w:p>
            <w:pPr>
              <w:pStyle w:val="TableContents"/>
              <w:bidi w:val="0"/>
              <w:spacing w:before="0" w:after="283"/>
              <w:jc w:val="right"/>
              <w:rPr/>
            </w:pPr>
            <w:r>
              <w:rPr/>
              <w:t>54.4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47.0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96" w:type="dxa"/>
            <w:tcBorders>
              <w:bottom w:val="single" w:sz="12" w:space="0" w:color="000000"/>
            </w:tcBorders>
            <w:shd w:fill="FFFFFF" w:val="clear"/>
            <w:vAlign w:val="center"/>
          </w:tcPr>
          <w:p>
            <w:pPr>
              <w:pStyle w:val="TableContents"/>
              <w:bidi w:val="0"/>
              <w:spacing w:before="0" w:after="283"/>
              <w:jc w:val="right"/>
              <w:rPr/>
            </w:pPr>
            <w:r>
              <w:rPr/>
              <w:t>47.0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52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911"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117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96"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4529"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bottom w:val="single" w:sz="12" w:space="0" w:color="000000"/>
            </w:tcBorders>
            <w:shd w:fill="FFFFFF" w:val="clear"/>
            <w:vAlign w:val="center"/>
          </w:tcPr>
          <w:p>
            <w:pPr>
              <w:pStyle w:val="TableContents"/>
              <w:bidi w:val="0"/>
              <w:spacing w:before="0" w:after="283"/>
              <w:jc w:val="left"/>
              <w:rPr/>
            </w:pPr>
            <w:r>
              <w:rPr/>
              <w:t> </w:t>
            </w:r>
          </w:p>
        </w:tc>
        <w:tc>
          <w:tcPr>
            <w:tcW w:w="911" w:type="dxa"/>
            <w:tcBorders>
              <w:bottom w:val="single" w:sz="12" w:space="0" w:color="000000"/>
            </w:tcBorders>
            <w:shd w:fill="FFFFFF" w:val="cle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bottom w:val="single" w:sz="12" w:space="0" w:color="000000"/>
            </w:tcBorders>
            <w:shd w:fill="FFFFFF" w:val="clear"/>
            <w:vAlign w:val="center"/>
          </w:tcPr>
          <w:p>
            <w:pPr>
              <w:pStyle w:val="TableContents"/>
              <w:bidi w:val="0"/>
              <w:spacing w:before="0" w:after="283"/>
              <w:jc w:val="left"/>
              <w:rPr/>
            </w:pPr>
            <w:r>
              <w:rPr/>
              <w:t> </w:t>
            </w:r>
          </w:p>
        </w:tc>
        <w:tc>
          <w:tcPr>
            <w:tcW w:w="1174" w:type="dxa"/>
            <w:tcBorders>
              <w:bottom w:val="single" w:sz="12" w:space="0" w:color="000000"/>
            </w:tcBorders>
            <w:shd w:fill="FFFFFF" w:val="clear"/>
            <w:vAlign w:val="center"/>
          </w:tcPr>
          <w:p>
            <w:pPr>
              <w:pStyle w:val="TableContents"/>
              <w:bidi w:val="0"/>
              <w:spacing w:before="0" w:after="283"/>
              <w:jc w:val="right"/>
              <w:rPr/>
            </w:pPr>
            <w:r>
              <w:rPr/>
              <w:t>544.0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470.1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12" w:space="0" w:color="000000"/>
            </w:tcBorders>
            <w:shd w:fill="FFFFFF" w:val="clear"/>
            <w:vAlign w:val="center"/>
          </w:tcPr>
          <w:p>
            <w:pPr>
              <w:pStyle w:val="TableContents"/>
              <w:bidi w:val="0"/>
              <w:spacing w:before="0" w:after="283"/>
              <w:jc w:val="left"/>
              <w:rPr/>
            </w:pPr>
            <w:r>
              <w:rPr/>
              <w:t> </w:t>
            </w:r>
          </w:p>
        </w:tc>
        <w:tc>
          <w:tcPr>
            <w:tcW w:w="1196" w:type="dxa"/>
            <w:tcBorders>
              <w:bottom w:val="single" w:sz="12" w:space="0" w:color="000000"/>
            </w:tcBorders>
            <w:shd w:fill="FFFFFF" w:val="clear"/>
            <w:vAlign w:val="center"/>
          </w:tcPr>
          <w:p>
            <w:pPr>
              <w:pStyle w:val="TableContents"/>
              <w:bidi w:val="0"/>
              <w:spacing w:before="0" w:after="283"/>
              <w:jc w:val="right"/>
              <w:rPr/>
            </w:pPr>
            <w:r>
              <w:rPr/>
              <w:t>470.1</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56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Net proceeds from the 2023 Placing were received in Hong Kong dollars and translated to RMB for application planning. The plan was adjusted slightly due to the fluctuation of the exchange rate since the 2023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2025 Placing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Company entered into the 2025 Placing and subscription agreement with Dajun Yang Dynasty Trust (the “</w:t>
      </w:r>
      <w:r>
        <w:rPr>
          <w:rFonts w:ascii="Times New Roman;Times;Serif" w:hAnsi="Times New Roman;Times;Serif"/>
          <w:b/>
          <w:i w:val="false"/>
          <w:caps w:val="false"/>
          <w:smallCaps w:val="false"/>
          <w:sz w:val="20"/>
        </w:rPr>
        <w:t>Vendor</w:t>
      </w:r>
      <w:r>
        <w:rPr>
          <w:rFonts w:ascii="Times New Roman;Times;Serif" w:hAnsi="Times New Roman;Times;Serif"/>
          <w:b w:val="false"/>
          <w:i w:val="false"/>
          <w:caps w:val="false"/>
          <w:smallCaps w:val="false"/>
          <w:sz w:val="20"/>
        </w:rPr>
        <w:t>”) and J.P. Morgan Securities (Asia Pacific) Limited and Citigroup Global Markets Limited (the “</w:t>
      </w:r>
      <w:r>
        <w:rPr>
          <w:rFonts w:ascii="Times New Roman;Times;Serif" w:hAnsi="Times New Roman;Times;Serif"/>
          <w:b/>
          <w:i w:val="false"/>
          <w:caps w:val="false"/>
          <w:smallCaps w:val="false"/>
          <w:sz w:val="20"/>
        </w:rPr>
        <w:t>2025 Placing Agents</w:t>
      </w:r>
      <w:r>
        <w:rPr>
          <w:rFonts w:ascii="Times New Roman;Times;Serif" w:hAnsi="Times New Roman;Times;Serif"/>
          <w:b w:val="false"/>
          <w:i w:val="false"/>
          <w:caps w:val="false"/>
          <w:smallCaps w:val="false"/>
          <w:sz w:val="20"/>
        </w:rPr>
        <w:t>”), pursuant to which (i) the Vendor agreed to appoint the 2025 Placing Agents, and the 2025 Placing Agents agreed to act as agents of the Vendor, to procure not less than six placees (the “</w:t>
      </w:r>
      <w:r>
        <w:rPr>
          <w:rFonts w:ascii="Times New Roman;Times;Serif" w:hAnsi="Times New Roman;Times;Serif"/>
          <w:b/>
          <w:i w:val="false"/>
          <w:caps w:val="false"/>
          <w:smallCaps w:val="false"/>
          <w:sz w:val="20"/>
        </w:rPr>
        <w:t>2025 Placees</w:t>
      </w:r>
      <w:r>
        <w:rPr>
          <w:rFonts w:ascii="Times New Roman;Times;Serif" w:hAnsi="Times New Roman;Times;Serif"/>
          <w:b w:val="false"/>
          <w:i w:val="false"/>
          <w:caps w:val="false"/>
          <w:smallCaps w:val="false"/>
          <w:sz w:val="20"/>
        </w:rPr>
        <w:t>”), on a best effort basis, to purchase up to 22,000,000 shares of the Company (the “</w:t>
      </w:r>
      <w:r>
        <w:rPr>
          <w:rFonts w:ascii="Times New Roman;Times;Serif" w:hAnsi="Times New Roman;Times;Serif"/>
          <w:b/>
          <w:i w:val="false"/>
          <w:caps w:val="false"/>
          <w:smallCaps w:val="false"/>
          <w:sz w:val="20"/>
        </w:rPr>
        <w:t>2025 Placing Shares</w:t>
      </w:r>
      <w:r>
        <w:rPr>
          <w:rFonts w:ascii="Times New Roman;Times;Serif" w:hAnsi="Times New Roman;Times;Serif"/>
          <w:b w:val="false"/>
          <w:i w:val="false"/>
          <w:caps w:val="false"/>
          <w:smallCaps w:val="false"/>
          <w:sz w:val="20"/>
        </w:rPr>
        <w:t>”) at the price of HK$68.60 per 2025 Placing Share; and (ii) the Vendor agreed to subscribe for, and the Company agreed to issue to the Vendor up to 22,000,000 new shares of the Company at the price of HK$68.60 per Subscription Share (the “</w:t>
      </w:r>
      <w:r>
        <w:rPr>
          <w:rFonts w:ascii="Times New Roman;Times;Serif" w:hAnsi="Times New Roman;Times;Serif"/>
          <w:b/>
          <w:i w:val="false"/>
          <w:caps w:val="false"/>
          <w:smallCaps w:val="false"/>
          <w:sz w:val="20"/>
        </w:rPr>
        <w:t>2025 Subscription</w:t>
      </w:r>
      <w:r>
        <w:rPr>
          <w:rFonts w:ascii="Times New Roman;Times;Serif" w:hAnsi="Times New Roman;Times;Serif"/>
          <w:b w:val="false"/>
          <w:i w:val="false"/>
          <w:caps w:val="false"/>
          <w:smallCaps w:val="false"/>
          <w:sz w:val="20"/>
        </w:rPr>
        <w:t>”). The closing of the 2025 Placing took place on July 17, 2025 and the closing of the 2025 Subscription took place on July 25, 2025. A total of 22,000,000 placing Shares have been successfully placed by the 2025 Placing Agents to the 2025 Placees. A total of 22,000,000 subscription Shares have been allotted and issued to the Vendor pursuant to the general mandate granted to the Directors by the Shareholders at the annual general meeting of the Company held on May 19, 2025. The net proceeds (after the deduction of all applicable costs and expenses) raised from the 2025 Placing were approximately HK$1,492.5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announcements of the Company dated February 2, 2025 and February 13, 2025 and the Company will gradually utilize the remaining amount of the net proceeds in accordance with such intended purposes depending on actual business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considered that the 2025 Placing represents an opportunity to further raise capital for the Company in order to enable the Company to continue the development of its pipeline candidates, while broadening its Shareholder base. The Directors are of the view that the 2025 Placing and the 2025 Subscription would further strengthen the financial position of the Group and provide additional working capital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2025 Placing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64"/>
        <w:gridCol w:w="60"/>
        <w:gridCol w:w="122"/>
        <w:gridCol w:w="779"/>
        <w:gridCol w:w="215"/>
        <w:gridCol w:w="60"/>
        <w:gridCol w:w="69"/>
        <w:gridCol w:w="870"/>
        <w:gridCol w:w="60"/>
        <w:gridCol w:w="60"/>
        <w:gridCol w:w="70"/>
        <w:gridCol w:w="877"/>
        <w:gridCol w:w="60"/>
        <w:gridCol w:w="60"/>
        <w:gridCol w:w="90"/>
        <w:gridCol w:w="857"/>
        <w:gridCol w:w="60"/>
        <w:gridCol w:w="60"/>
        <w:gridCol w:w="74"/>
        <w:gridCol w:w="704"/>
        <w:gridCol w:w="60"/>
        <w:gridCol w:w="60"/>
        <w:gridCol w:w="71"/>
        <w:gridCol w:w="889"/>
        <w:gridCol w:w="60"/>
        <w:gridCol w:w="60"/>
        <w:gridCol w:w="1134"/>
      </w:tblGrid>
      <w:tr>
        <w:trPr/>
        <w:tc>
          <w:tcPr>
            <w:tcW w:w="2664"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901"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amount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4"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timeline for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utilizing the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Placing</w:t>
            </w:r>
          </w:p>
        </w:tc>
      </w:tr>
      <w:tr>
        <w:trPr/>
        <w:tc>
          <w:tcPr>
            <w:tcW w:w="26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1"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9" w:type="dxa"/>
            <w:gridSpan w:val="2"/>
            <w:tcBorders/>
            <w:tcMar>
              <w:bottom w:w="0" w:type="dxa"/>
            </w:tcMar>
            <w:vAlign w:val="center"/>
          </w:tcPr>
          <w:p>
            <w:pPr>
              <w:pStyle w:val="TableContents"/>
              <w:bidi w:val="0"/>
              <w:spacing w:before="0" w:after="283"/>
              <w:jc w:val="center"/>
              <w:rPr/>
            </w:pPr>
            <w:r>
              <w:rPr/>
              <w:t>(HK$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8"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0"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4" w:type="dxa"/>
            <w:tcBorders/>
            <w:tcMar>
              <w:bottom w:w="0" w:type="dxa"/>
            </w:tcMar>
            <w:vAlign w:val="center"/>
          </w:tcPr>
          <w:p>
            <w:pPr>
              <w:pStyle w:val="TableContents"/>
              <w:bidi w:val="0"/>
              <w:spacing w:before="0" w:after="283"/>
              <w:jc w:val="center"/>
              <w:rPr/>
            </w:pPr>
            <w:r>
              <w:rPr/>
              <w:t> </w:t>
            </w:r>
          </w:p>
        </w:tc>
      </w:tr>
      <w:tr>
        <w:trPr/>
        <w:tc>
          <w:tcPr>
            <w:tcW w:w="26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1"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8"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4" w:type="dxa"/>
            <w:tcBorders/>
            <w:tcMar>
              <w:bottom w:w="0" w:type="dxa"/>
            </w:tcMar>
            <w:vAlign w:val="center"/>
          </w:tcPr>
          <w:p>
            <w:pPr>
              <w:pStyle w:val="TableContents"/>
              <w:bidi w:val="0"/>
              <w:spacing w:before="0" w:after="283"/>
              <w:ind w:left="0" w:right="0" w:hanging="141"/>
              <w:jc w:val="center"/>
              <w:rPr/>
            </w:pPr>
            <w:r>
              <w:rPr/>
              <w:t> </w:t>
            </w:r>
          </w:p>
        </w:tc>
      </w:tr>
      <w:tr>
        <w:trPr/>
        <w:tc>
          <w:tcPr>
            <w:tcW w:w="2664" w:type="dxa"/>
            <w:tcBorders/>
            <w:shd w:fill="CCEEFF" w:val="clear"/>
            <w:tcMar>
              <w:bottom w:w="0" w:type="dxa"/>
            </w:tcMar>
            <w:vAlign w:val="center"/>
          </w:tcPr>
          <w:p>
            <w:pPr>
              <w:pStyle w:val="TableContents"/>
              <w:bidi w:val="0"/>
              <w:spacing w:before="0" w:after="283"/>
              <w:jc w:val="left"/>
              <w:rPr/>
            </w:pPr>
            <w:r>
              <w:rPr/>
              <w:t>Commercialization efforts, including expanding coverage and improving patient access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79" w:type="dxa"/>
            <w:tcBorders/>
            <w:shd w:fill="CCEEFF" w:val="clear"/>
            <w:tcMar>
              <w:bottom w:w="0" w:type="dxa"/>
            </w:tcMar>
            <w:vAlign w:val="center"/>
          </w:tcPr>
          <w:p>
            <w:pPr>
              <w:pStyle w:val="TableContents"/>
              <w:bidi w:val="0"/>
              <w:spacing w:before="0" w:after="283"/>
              <w:jc w:val="right"/>
              <w:rPr/>
            </w:pPr>
            <w:r>
              <w:rPr/>
              <w:t>40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597.0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77" w:type="dxa"/>
            <w:tcBorders/>
            <w:shd w:fill="CCEEFF" w:val="clear"/>
            <w:tcMar>
              <w:bottom w:w="0" w:type="dxa"/>
            </w:tcMar>
            <w:vAlign w:val="center"/>
          </w:tcPr>
          <w:p>
            <w:pPr>
              <w:pStyle w:val="TableContents"/>
              <w:bidi w:val="0"/>
              <w:spacing w:before="0" w:after="283"/>
              <w:jc w:val="right"/>
              <w:rPr/>
            </w:pPr>
            <w:r>
              <w:rPr/>
              <w:t>543.5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right"/>
              <w:rPr/>
            </w:pPr>
            <w:r>
              <w:rPr/>
              <w:t>94.5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04" w:type="dxa"/>
            <w:tcBorders/>
            <w:shd w:fill="CCEEFF" w:val="clear"/>
            <w:tcMar>
              <w:bottom w:w="0" w:type="dxa"/>
            </w:tcMar>
            <w:vAlign w:val="center"/>
          </w:tcPr>
          <w:p>
            <w:pPr>
              <w:pStyle w:val="TableContents"/>
              <w:bidi w:val="0"/>
              <w:spacing w:before="0" w:after="283"/>
              <w:jc w:val="right"/>
              <w:rPr/>
            </w:pPr>
            <w:r>
              <w:rPr/>
              <w:t>109.4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889" w:type="dxa"/>
            <w:tcBorders/>
            <w:shd w:fill="CCEEFF" w:val="clear"/>
            <w:tcMar>
              <w:bottom w:w="0" w:type="dxa"/>
            </w:tcMar>
            <w:vAlign w:val="center"/>
          </w:tcPr>
          <w:p>
            <w:pPr>
              <w:pStyle w:val="TableContents"/>
              <w:bidi w:val="0"/>
              <w:spacing w:before="0" w:after="283"/>
              <w:jc w:val="right"/>
              <w:rPr/>
            </w:pPr>
            <w:r>
              <w:rPr/>
              <w:t>434.1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ind w:left="0" w:right="0" w:hanging="141"/>
              <w:jc w:val="center"/>
              <w:rPr/>
            </w:pPr>
            <w:r>
              <w:rPr/>
              <w:t>December 31, 2026</w:t>
            </w:r>
          </w:p>
        </w:tc>
      </w:tr>
      <w:tr>
        <w:trPr/>
        <w:tc>
          <w:tcPr>
            <w:tcW w:w="2664" w:type="dxa"/>
            <w:tcBorders/>
            <w:shd w:fill="FFFFFF" w:val="clear"/>
            <w:tcMar>
              <w:bottom w:w="0" w:type="dxa"/>
            </w:tcMar>
            <w:vAlign w:val="center"/>
          </w:tcPr>
          <w:p>
            <w:pPr>
              <w:pStyle w:val="TableContents"/>
              <w:bidi w:val="0"/>
              <w:spacing w:before="0" w:after="283"/>
              <w:jc w:val="left"/>
              <w:rPr/>
            </w:pPr>
            <w:r>
              <w:rPr/>
              <w:t>Global clinical development to advance the core pipeline candidates of the Company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right"/>
              <w:rPr/>
            </w:pPr>
            <w:r>
              <w:rPr/>
              <w:t>35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522.4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77" w:type="dxa"/>
            <w:tcBorders/>
            <w:shd w:fill="FFFFFF" w:val="clear"/>
            <w:tcMar>
              <w:bottom w:w="0" w:type="dxa"/>
            </w:tcMar>
            <w:vAlign w:val="center"/>
          </w:tcPr>
          <w:p>
            <w:pPr>
              <w:pStyle w:val="TableContents"/>
              <w:bidi w:val="0"/>
              <w:spacing w:before="0" w:after="283"/>
              <w:jc w:val="right"/>
              <w:rPr/>
            </w:pPr>
            <w:r>
              <w:rPr/>
              <w:t>475.5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right"/>
              <w:rPr/>
            </w:pPr>
            <w:r>
              <w:rPr/>
              <w:t>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95.7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379.8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ind w:left="0" w:right="0" w:hanging="141"/>
              <w:jc w:val="center"/>
              <w:rPr/>
            </w:pPr>
            <w:r>
              <w:rPr/>
              <w:t>December 31, 2026</w:t>
            </w:r>
          </w:p>
        </w:tc>
      </w:tr>
      <w:tr>
        <w:trPr/>
        <w:tc>
          <w:tcPr>
            <w:tcW w:w="2664" w:type="dxa"/>
            <w:tcBorders/>
            <w:shd w:fill="CCEEFF" w:val="clear"/>
            <w:tcMar>
              <w:bottom w:w="0" w:type="dxa"/>
            </w:tcMar>
            <w:vAlign w:val="center"/>
          </w:tcPr>
          <w:p>
            <w:pPr>
              <w:pStyle w:val="TableContents"/>
              <w:bidi w:val="0"/>
              <w:spacing w:before="0" w:after="283"/>
              <w:jc w:val="left"/>
              <w:rPr/>
            </w:pPr>
            <w:r>
              <w:rPr/>
              <w:t>Infrastructure and working capital to strengthen global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right"/>
              <w:rPr/>
            </w:pPr>
            <w:r>
              <w:rPr/>
              <w:t> </w:t>
            </w:r>
          </w:p>
        </w:tc>
        <w:tc>
          <w:tcPr>
            <w:tcW w:w="779" w:type="dxa"/>
            <w:tcBorders>
              <w:bottom w:val="single" w:sz="12" w:space="0" w:color="000000"/>
            </w:tcBorders>
            <w:shd w:fill="CCEEFF" w:val="clear"/>
            <w:vAlign w:val="center"/>
          </w:tcPr>
          <w:p>
            <w:pPr>
              <w:pStyle w:val="TableContents"/>
              <w:bidi w:val="0"/>
              <w:spacing w:before="0" w:after="283"/>
              <w:jc w:val="right"/>
              <w:rPr/>
            </w:pPr>
            <w:r>
              <w:rPr/>
              <w:t>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shd w:fill="CCEEFF" w:val="clear"/>
            <w:vAlign w:val="center"/>
          </w:tcPr>
          <w:p>
            <w:pPr>
              <w:pStyle w:val="TableContents"/>
              <w:bidi w:val="0"/>
              <w:spacing w:before="0" w:after="283"/>
              <w:jc w:val="right"/>
              <w:rPr/>
            </w:pPr>
            <w:r>
              <w:rPr/>
              <w:t> </w:t>
            </w:r>
          </w:p>
        </w:tc>
        <w:tc>
          <w:tcPr>
            <w:tcW w:w="870" w:type="dxa"/>
            <w:tcBorders>
              <w:bottom w:val="single" w:sz="12" w:space="0" w:color="000000"/>
            </w:tcBorders>
            <w:shd w:fill="CCEEFF" w:val="clear"/>
            <w:vAlign w:val="center"/>
          </w:tcPr>
          <w:p>
            <w:pPr>
              <w:pStyle w:val="TableContents"/>
              <w:bidi w:val="0"/>
              <w:spacing w:before="0" w:after="283"/>
              <w:jc w:val="right"/>
              <w:rPr/>
            </w:pPr>
            <w:r>
              <w:rPr/>
              <w:t>373.1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right"/>
              <w:rPr/>
            </w:pPr>
            <w:r>
              <w:rPr/>
              <w:t> </w:t>
            </w:r>
          </w:p>
        </w:tc>
        <w:tc>
          <w:tcPr>
            <w:tcW w:w="877" w:type="dxa"/>
            <w:tcBorders>
              <w:bottom w:val="single" w:sz="12" w:space="0" w:color="000000"/>
            </w:tcBorders>
            <w:shd w:fill="CCEEFF" w:val="clear"/>
            <w:vAlign w:val="center"/>
          </w:tcPr>
          <w:p>
            <w:pPr>
              <w:pStyle w:val="TableContents"/>
              <w:bidi w:val="0"/>
              <w:spacing w:before="0" w:after="283"/>
              <w:jc w:val="right"/>
              <w:rPr/>
            </w:pPr>
            <w:r>
              <w:rPr/>
              <w:t>339.7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righ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59.1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CCEEFF" w:val="clear"/>
            <w:vAlign w:val="center"/>
          </w:tcPr>
          <w:p>
            <w:pPr>
              <w:pStyle w:val="TableContents"/>
              <w:bidi w:val="0"/>
              <w:spacing w:before="0" w:after="283"/>
              <w:jc w:val="right"/>
              <w:rPr/>
            </w:pPr>
            <w:r>
              <w:rPr/>
              <w:t> </w:t>
            </w:r>
          </w:p>
        </w:tc>
        <w:tc>
          <w:tcPr>
            <w:tcW w:w="704" w:type="dxa"/>
            <w:tcBorders>
              <w:bottom w:val="single" w:sz="12" w:space="0" w:color="000000"/>
            </w:tcBorders>
            <w:shd w:fill="CCEEFF" w:val="clear"/>
            <w:vAlign w:val="center"/>
          </w:tcPr>
          <w:p>
            <w:pPr>
              <w:pStyle w:val="TableContents"/>
              <w:bidi w:val="0"/>
              <w:spacing w:before="0" w:after="283"/>
              <w:jc w:val="right"/>
              <w:rPr/>
            </w:pPr>
            <w:r>
              <w:rPr/>
              <w:t>68.4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right"/>
              <w:rPr/>
            </w:pPr>
            <w:r>
              <w:rPr/>
              <w:t> </w:t>
            </w:r>
          </w:p>
        </w:tc>
        <w:tc>
          <w:tcPr>
            <w:tcW w:w="889" w:type="dxa"/>
            <w:tcBorders>
              <w:bottom w:val="single" w:sz="12" w:space="0" w:color="000000"/>
            </w:tcBorders>
            <w:shd w:fill="CCEEFF" w:val="clear"/>
            <w:vAlign w:val="center"/>
          </w:tcPr>
          <w:p>
            <w:pPr>
              <w:pStyle w:val="TableContents"/>
              <w:bidi w:val="0"/>
              <w:spacing w:before="0" w:after="283"/>
              <w:jc w:val="right"/>
              <w:rPr/>
            </w:pPr>
            <w:r>
              <w:rPr/>
              <w:t>271.3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center"/>
              <w:rPr/>
            </w:pPr>
            <w:r>
              <w:rPr/>
              <w:t>December 31, 2026</w:t>
            </w:r>
          </w:p>
        </w:tc>
      </w:tr>
      <w:tr>
        <w:trPr/>
        <w:tc>
          <w:tcPr>
            <w:tcW w:w="26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7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7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8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ind w:left="0" w:right="0" w:hanging="170"/>
              <w:jc w:val="center"/>
              <w:rPr/>
            </w:pPr>
            <w:r>
              <w:rPr/>
              <w:t> </w:t>
            </w:r>
          </w:p>
        </w:tc>
      </w:tr>
      <w:tr>
        <w:trPr/>
        <w:tc>
          <w:tcPr>
            <w:tcW w:w="2664"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bottom w:val="single" w:sz="12" w:space="0" w:color="000000"/>
            </w:tcBorders>
            <w:shd w:fill="CCEEFF" w:val="clear"/>
            <w:vAlign w:val="center"/>
          </w:tcPr>
          <w:p>
            <w:pPr>
              <w:pStyle w:val="TableContents"/>
              <w:bidi w:val="0"/>
              <w:spacing w:before="0" w:after="283"/>
              <w:jc w:val="right"/>
              <w:rPr/>
            </w:pPr>
            <w:r>
              <w:rPr/>
              <w:t> </w:t>
            </w:r>
          </w:p>
        </w:tc>
        <w:tc>
          <w:tcPr>
            <w:tcW w:w="779" w:type="dxa"/>
            <w:tcBorders>
              <w:bottom w:val="single" w:sz="12" w:space="0" w:color="000000"/>
            </w:tcBorders>
            <w:shd w:fill="CCEEFF" w:val="cle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shd w:fill="CCEEFF" w:val="clear"/>
            <w:vAlign w:val="center"/>
          </w:tcPr>
          <w:p>
            <w:pPr>
              <w:pStyle w:val="TableContents"/>
              <w:bidi w:val="0"/>
              <w:spacing w:before="0" w:after="283"/>
              <w:jc w:val="right"/>
              <w:rPr/>
            </w:pPr>
            <w:r>
              <w:rPr/>
              <w:t> </w:t>
            </w:r>
          </w:p>
        </w:tc>
        <w:tc>
          <w:tcPr>
            <w:tcW w:w="870" w:type="dxa"/>
            <w:tcBorders>
              <w:bottom w:val="single" w:sz="12" w:space="0" w:color="000000"/>
            </w:tcBorders>
            <w:shd w:fill="CCEEFF" w:val="clear"/>
            <w:vAlign w:val="center"/>
          </w:tcPr>
          <w:p>
            <w:pPr>
              <w:pStyle w:val="TableContents"/>
              <w:bidi w:val="0"/>
              <w:spacing w:before="0" w:after="283"/>
              <w:jc w:val="right"/>
              <w:rPr/>
            </w:pPr>
            <w:r>
              <w:rPr/>
              <w:t>1,492.5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right"/>
              <w:rPr/>
            </w:pPr>
            <w:r>
              <w:rPr/>
              <w:t> </w:t>
            </w:r>
          </w:p>
        </w:tc>
        <w:tc>
          <w:tcPr>
            <w:tcW w:w="877" w:type="dxa"/>
            <w:tcBorders>
              <w:bottom w:val="single" w:sz="12" w:space="0" w:color="000000"/>
            </w:tcBorders>
            <w:shd w:fill="CCEEFF" w:val="clear"/>
            <w:vAlign w:val="center"/>
          </w:tcPr>
          <w:p>
            <w:pPr>
              <w:pStyle w:val="TableContents"/>
              <w:bidi w:val="0"/>
              <w:spacing w:before="0" w:after="283"/>
              <w:jc w:val="right"/>
              <w:rPr/>
            </w:pPr>
            <w:r>
              <w:rPr/>
              <w:t>1,358.7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right"/>
              <w:rPr/>
            </w:pPr>
            <w:r>
              <w:rPr/>
              <w:t> </w:t>
            </w:r>
          </w:p>
        </w:tc>
        <w:tc>
          <w:tcPr>
            <w:tcW w:w="857" w:type="dxa"/>
            <w:tcBorders>
              <w:bottom w:val="single" w:sz="12" w:space="0" w:color="000000"/>
            </w:tcBorders>
            <w:shd w:fill="CCEEFF" w:val="clear"/>
            <w:vAlign w:val="center"/>
          </w:tcPr>
          <w:p>
            <w:pPr>
              <w:pStyle w:val="TableContents"/>
              <w:bidi w:val="0"/>
              <w:spacing w:before="0" w:after="283"/>
              <w:jc w:val="right"/>
              <w:rPr/>
            </w:pPr>
            <w:r>
              <w:rPr/>
              <w:t>236.3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bottom w:val="single" w:sz="12" w:space="0" w:color="000000"/>
            </w:tcBorders>
            <w:shd w:fill="CCEEFF" w:val="clear"/>
            <w:vAlign w:val="center"/>
          </w:tcPr>
          <w:p>
            <w:pPr>
              <w:pStyle w:val="TableContents"/>
              <w:bidi w:val="0"/>
              <w:spacing w:before="0" w:after="283"/>
              <w:jc w:val="right"/>
              <w:rPr/>
            </w:pPr>
            <w:r>
              <w:rPr/>
              <w:t> </w:t>
            </w:r>
          </w:p>
        </w:tc>
        <w:tc>
          <w:tcPr>
            <w:tcW w:w="704" w:type="dxa"/>
            <w:tcBorders>
              <w:bottom w:val="single" w:sz="12" w:space="0" w:color="000000"/>
            </w:tcBorders>
            <w:shd w:fill="CCEEFF" w:val="clear"/>
            <w:vAlign w:val="center"/>
          </w:tcPr>
          <w:p>
            <w:pPr>
              <w:pStyle w:val="TableContents"/>
              <w:bidi w:val="0"/>
              <w:spacing w:before="0" w:after="283"/>
              <w:jc w:val="right"/>
              <w:rPr/>
            </w:pPr>
            <w:r>
              <w:rPr/>
              <w:t>273.5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right"/>
              <w:rPr/>
            </w:pPr>
            <w:r>
              <w:rPr/>
              <w:t> </w:t>
            </w:r>
          </w:p>
        </w:tc>
        <w:tc>
          <w:tcPr>
            <w:tcW w:w="889" w:type="dxa"/>
            <w:tcBorders>
              <w:bottom w:val="single" w:sz="12" w:space="0" w:color="000000"/>
            </w:tcBorders>
            <w:shd w:fill="CCEEFF" w:val="clear"/>
            <w:vAlign w:val="center"/>
          </w:tcPr>
          <w:p>
            <w:pPr>
              <w:pStyle w:val="TableContents"/>
              <w:bidi w:val="0"/>
              <w:spacing w:before="0" w:after="283"/>
              <w:jc w:val="right"/>
              <w:rPr/>
            </w:pPr>
            <w:r>
              <w:rPr/>
              <w:t>1,085.2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both"/>
              <w:rPr/>
            </w:pPr>
            <w:r>
              <w:rPr/>
              <w:t>The expected timeline for utilizing the remaining balance of net proceeds is based on the best estimation of the market conditions made by the Group and it is subject to the research and development progress of the Group.</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283"/>
              <w:jc w:val="both"/>
              <w:rPr/>
            </w:pPr>
            <w:r>
              <w:rPr/>
              <w:t>Net proceeds from the 2025 Placing were received in Hong Kong dollars and translated to RMB for application planning. The plan was adjusted slightly due to the fluctuation of the exchange rate since the 2025 Placing.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Subscription of Shares by Innovent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Innovent has subscribed for 8,823,863 Shares at a total consideration of HK$388.25 million (being approximately US$50 million) and at the subscription price of HK$44.0 per Share. The completion of the subscription of Shares by Innovent took place on July 23, 2021. The net proceeds (after the deduction of all applicable costs and expenses) raised from the subscription of Shares by Innovent were approximately HK$388.06 million (being approximately US$49.98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July 14, 2021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equity investment in the Company by Innovent by way of subscription of Shares signifies Innovent’s recognition of the Company’s research and development capabilities, as well as the Company’s growth potential. The equity investment is also expected to provide further financial support to the Company’s global clinical development programs. In addition, in view of the strategic collaboration relationship between the Company and Innovent, the subscription of Shares allows Innovent to further share the Company’s prospects, whereby strengthening the business cooperation between the two groups.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subscription of Shares by Innovent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92"/>
        <w:gridCol w:w="60"/>
        <w:gridCol w:w="134"/>
        <w:gridCol w:w="858"/>
        <w:gridCol w:w="215"/>
        <w:gridCol w:w="60"/>
        <w:gridCol w:w="91"/>
        <w:gridCol w:w="1062"/>
        <w:gridCol w:w="60"/>
        <w:gridCol w:w="60"/>
        <w:gridCol w:w="94"/>
        <w:gridCol w:w="1093"/>
        <w:gridCol w:w="60"/>
        <w:gridCol w:w="60"/>
        <w:gridCol w:w="91"/>
        <w:gridCol w:w="1037"/>
        <w:gridCol w:w="78"/>
      </w:tblGrid>
      <w:tr>
        <w:trPr/>
        <w:tc>
          <w:tcPr>
            <w:tcW w:w="5092"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center"/>
              <w:rPr/>
            </w:pPr>
            <w:r>
              <w:rPr/>
              <w:t> </w:t>
            </w:r>
          </w:p>
        </w:tc>
        <w:tc>
          <w:tcPr>
            <w:tcW w:w="99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53"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7"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8"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78" w:type="dxa"/>
            <w:tcBorders/>
            <w:tcMar>
              <w:bottom w:w="0" w:type="dxa"/>
            </w:tcMar>
            <w:vAlign w:val="center"/>
          </w:tcPr>
          <w:p>
            <w:pPr>
              <w:pStyle w:val="TableContents"/>
              <w:bidi w:val="0"/>
              <w:spacing w:before="0" w:after="283"/>
              <w:jc w:val="center"/>
              <w:rPr/>
            </w:pPr>
            <w:r>
              <w:rPr/>
              <w:t> </w:t>
            </w:r>
          </w:p>
        </w:tc>
      </w:tr>
      <w:tr>
        <w:trPr/>
        <w:tc>
          <w:tcPr>
            <w:tcW w:w="5092"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53" w:type="dxa"/>
            <w:gridSpan w:val="2"/>
            <w:tcBorders/>
            <w:tcMar>
              <w:bottom w:w="0" w:type="dxa"/>
            </w:tcMar>
            <w:vAlign w:val="center"/>
          </w:tcPr>
          <w:p>
            <w:pPr>
              <w:pStyle w:val="TableContents"/>
              <w:bidi w:val="0"/>
              <w:spacing w:before="0" w:after="283"/>
              <w:jc w:val="center"/>
              <w:rPr/>
            </w:pPr>
            <w:r>
              <w:rPr/>
              <w:t>(HK$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87"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28" w:type="dxa"/>
            <w:gridSpan w:val="2"/>
            <w:tcBorders/>
            <w:tcMar>
              <w:bottom w:w="0" w:type="dxa"/>
            </w:tcMar>
            <w:vAlign w:val="center"/>
          </w:tcPr>
          <w:p>
            <w:pPr>
              <w:pStyle w:val="TableContents"/>
              <w:bidi w:val="0"/>
              <w:spacing w:before="0" w:after="283"/>
              <w:jc w:val="center"/>
              <w:rPr/>
            </w:pPr>
            <w:r>
              <w:rPr/>
              <w:t>(RMB million)</w:t>
            </w:r>
          </w:p>
        </w:tc>
        <w:tc>
          <w:tcPr>
            <w:tcW w:w="78" w:type="dxa"/>
            <w:tcBorders/>
            <w:tcMar>
              <w:bottom w:w="0" w:type="dxa"/>
            </w:tcMar>
            <w:vAlign w:val="center"/>
          </w:tcPr>
          <w:p>
            <w:pPr>
              <w:pStyle w:val="TableContents"/>
              <w:bidi w:val="0"/>
              <w:spacing w:before="0" w:after="283"/>
              <w:jc w:val="center"/>
              <w:rPr/>
            </w:pPr>
            <w:r>
              <w:rPr/>
              <w:t> </w:t>
            </w:r>
          </w:p>
        </w:tc>
      </w:tr>
      <w:tr>
        <w:trPr/>
        <w:tc>
          <w:tcPr>
            <w:tcW w:w="50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2"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3"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87"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8" w:type="dxa"/>
            <w:gridSpan w:val="2"/>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ind w:left="0" w:right="0" w:hanging="238"/>
              <w:jc w:val="left"/>
              <w:rPr/>
            </w:pPr>
            <w:r>
              <w:rPr/>
              <w:t> </w:t>
            </w:r>
          </w:p>
        </w:tc>
      </w:tr>
      <w:tr>
        <w:trPr/>
        <w:tc>
          <w:tcPr>
            <w:tcW w:w="5092" w:type="dxa"/>
            <w:tcBorders/>
            <w:shd w:fill="CCEEFF" w:val="clear"/>
            <w:tcMar>
              <w:bottom w:w="0" w:type="dxa"/>
            </w:tcMar>
            <w:vAlign w:val="center"/>
          </w:tcPr>
          <w:p>
            <w:pPr>
              <w:pStyle w:val="TableContents"/>
              <w:bidi w:val="0"/>
              <w:spacing w:before="0" w:after="283"/>
              <w:jc w:val="left"/>
              <w:rPr/>
            </w:pPr>
            <w:r>
              <w:rPr/>
              <w:t>Development and commercialization of the Company’s Core Product, HQP1351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30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116.42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97.10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97.10</w:t>
            </w:r>
          </w:p>
        </w:tc>
        <w:tc>
          <w:tcPr>
            <w:tcW w:w="78"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5092" w:type="dxa"/>
            <w:tcBorders/>
            <w:shd w:fill="FFFFFF" w:val="clear"/>
            <w:tcMar>
              <w:bottom w:w="0" w:type="dxa"/>
            </w:tcMar>
            <w:vAlign w:val="center"/>
          </w:tcPr>
          <w:p>
            <w:pPr>
              <w:pStyle w:val="TableContents"/>
              <w:bidi w:val="0"/>
              <w:spacing w:before="0" w:after="283"/>
              <w:jc w:val="left"/>
              <w:rPr/>
            </w:pPr>
            <w:r>
              <w:rPr/>
              <w:t>Development of the Company’s key product candidate, APG-2575</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34"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271.64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1093" w:type="dxa"/>
            <w:tcBorders>
              <w:bottom w:val="single" w:sz="12" w:space="0" w:color="000000"/>
            </w:tcBorders>
            <w:shd w:fill="FFFFFF" w:val="clear"/>
            <w:vAlign w:val="center"/>
          </w:tcPr>
          <w:p>
            <w:pPr>
              <w:pStyle w:val="TableContents"/>
              <w:bidi w:val="0"/>
              <w:spacing w:before="0" w:after="283"/>
              <w:jc w:val="right"/>
              <w:rPr/>
            </w:pPr>
            <w:r>
              <w:rPr/>
              <w:t>226.40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037" w:type="dxa"/>
            <w:tcBorders>
              <w:bottom w:val="single" w:sz="12" w:space="0" w:color="000000"/>
            </w:tcBorders>
            <w:shd w:fill="FFFFFF" w:val="clear"/>
            <w:vAlign w:val="center"/>
          </w:tcPr>
          <w:p>
            <w:pPr>
              <w:pStyle w:val="TableContents"/>
              <w:bidi w:val="0"/>
              <w:spacing w:before="0" w:after="283"/>
              <w:jc w:val="right"/>
              <w:rPr/>
            </w:pPr>
            <w:r>
              <w:rPr/>
              <w:t>226.40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09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shd w:fill="CCEEFF" w:val="clear"/>
            <w:tcMar>
              <w:bottom w:w="0" w:type="dxa"/>
            </w:tcMar>
            <w:vAlign w:val="center"/>
          </w:tcPr>
          <w:p>
            <w:pPr>
              <w:pStyle w:val="TableContents"/>
              <w:bidi w:val="0"/>
              <w:spacing w:before="0" w:after="283"/>
              <w:jc w:val="left"/>
              <w:rPr/>
            </w:pPr>
            <w:r>
              <w:rPr/>
              <w:t> </w:t>
            </w:r>
          </w:p>
        </w:tc>
        <w:tc>
          <w:tcPr>
            <w:tcW w:w="858"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5092" w:type="dxa"/>
            <w:tcBorders/>
            <w:shd w:fill="FFFFFF" w:val="clear"/>
            <w:tcMar>
              <w:bottom w:w="0" w:type="dxa"/>
            </w:tcMar>
            <w:vAlign w:val="center"/>
          </w:tcPr>
          <w:p>
            <w:pPr>
              <w:pStyle w:val="TableContents"/>
              <w:bidi w:val="0"/>
              <w:spacing w:before="0" w:after="283"/>
              <w:jc w:val="left"/>
              <w:rPr/>
            </w:pPr>
            <w:r>
              <w:rPr/>
              <w:t>Total</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34" w:type="dxa"/>
            <w:tcBorders>
              <w:bottom w:val="single" w:sz="12" w:space="0" w:color="000000"/>
            </w:tcBorders>
            <w:shd w:fill="FFFFFF" w:val="clear"/>
            <w:vAlign w:val="center"/>
          </w:tcPr>
          <w:p>
            <w:pPr>
              <w:pStyle w:val="TableContents"/>
              <w:bidi w:val="0"/>
              <w:spacing w:before="0" w:after="283"/>
              <w:jc w:val="left"/>
              <w:rPr/>
            </w:pPr>
            <w:r>
              <w:rPr/>
              <w:t> </w:t>
            </w:r>
          </w:p>
        </w:tc>
        <w:tc>
          <w:tcPr>
            <w:tcW w:w="858" w:type="dxa"/>
            <w:tcBorders>
              <w:bottom w:val="single" w:sz="12" w:space="0" w:color="000000"/>
            </w:tcBorders>
            <w:shd w:fill="FFFFFF" w:val="cle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388.06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vAlign w:val="center"/>
          </w:tcPr>
          <w:p>
            <w:pPr>
              <w:pStyle w:val="TableContents"/>
              <w:bidi w:val="0"/>
              <w:spacing w:before="0" w:after="283"/>
              <w:jc w:val="left"/>
              <w:rPr/>
            </w:pPr>
            <w:r>
              <w:rPr/>
              <w:t> </w:t>
            </w:r>
          </w:p>
        </w:tc>
        <w:tc>
          <w:tcPr>
            <w:tcW w:w="1093" w:type="dxa"/>
            <w:tcBorders>
              <w:bottom w:val="single" w:sz="12" w:space="0" w:color="000000"/>
            </w:tcBorders>
            <w:shd w:fill="FFFFFF" w:val="clear"/>
            <w:vAlign w:val="center"/>
          </w:tcPr>
          <w:p>
            <w:pPr>
              <w:pStyle w:val="TableContents"/>
              <w:bidi w:val="0"/>
              <w:spacing w:before="0" w:after="283"/>
              <w:jc w:val="right"/>
              <w:rPr/>
            </w:pPr>
            <w:r>
              <w:rPr/>
              <w:t>323.50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vAlign w:val="center"/>
          </w:tcPr>
          <w:p>
            <w:pPr>
              <w:pStyle w:val="TableContents"/>
              <w:bidi w:val="0"/>
              <w:spacing w:before="0" w:after="283"/>
              <w:jc w:val="left"/>
              <w:rPr/>
            </w:pPr>
            <w:r>
              <w:rPr/>
              <w:t> </w:t>
            </w:r>
          </w:p>
        </w:tc>
        <w:tc>
          <w:tcPr>
            <w:tcW w:w="1037" w:type="dxa"/>
            <w:tcBorders>
              <w:bottom w:val="single" w:sz="12" w:space="0" w:color="000000"/>
            </w:tcBorders>
            <w:shd w:fill="FFFFFF" w:val="clear"/>
            <w:vAlign w:val="center"/>
          </w:tcPr>
          <w:p>
            <w:pPr>
              <w:pStyle w:val="TableContents"/>
              <w:bidi w:val="0"/>
              <w:spacing w:before="0" w:after="283"/>
              <w:jc w:val="right"/>
              <w:rPr/>
            </w:pPr>
            <w:r>
              <w:rPr/>
              <w:t>323.50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56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both"/>
              <w:rPr/>
            </w:pPr>
            <w:r>
              <w:rPr/>
              <w:t>Net proceeds from the subscription of Shares by Innovent were received in Hong Kong dollars and translated to RMB for application planning.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2024 Share Subscription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14, 2024, the Company and Takeda entered into the Securities Purchase Agreement, pursuant to which the Company agreed to issue and allot, and Takeda agreed to subscribe, for a total of 24,307,322 shares at an aggregate consideration of US$75,000,000 (equivalent to approximately HK$585.77 million). The purchase price per share in the 2024 Share Subscription is HK$24.09850. The closing price of the Shares on June 14, 2024, being the date on which the terms of the Securities Purchase Agreement was fixed, was HK$23.05. The aggregate nominal value of the shares in the 2024 Share Subscription is US$2,430,732.2.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in the 2024 Share Subscription represents approximately 8.37% of the then existing issued share capital of the Company and approximately 7.73% of the then enlarged issued share capital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Share Subscription Conditions Precedent have been satisfied and the Closing took place on June 20, 2024 (after trading hours). An aggregate of 24,307,322 Subscription Shares have been successfully allotted and issued by the Company to Takeda at the Share Purchase Price of HK$24.09850 (equivalent to approximately US$3.08549) per Subscription Share pursuant to the terms and conditions of the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raised from the 2024 Share Subscription is US$75,000,000 (equivalent to approximately HK$585.77 million) and the net proceeds (after deducting all applicable costs and expenses) arising from the 2024 Share Subscription amount to approximately US$73,000,000 (equivalent to approximately HK$570.15 million). The net price per share in the 2024 Share Subscription is approximately HK$23.46.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the intended use of the net proceeds as previously disclosed in the relevant announcement of the Company dated June 14, 2024 and as at June 30, 2026 the Company has fully utilized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equity investment in the Company by Takeda by way of the 2024 Share Subscription is expected to provide further financial support to the Company’s global clinical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2024 Share Subscription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96"/>
        <w:gridCol w:w="60"/>
        <w:gridCol w:w="131"/>
        <w:gridCol w:w="834"/>
        <w:gridCol w:w="215"/>
        <w:gridCol w:w="60"/>
        <w:gridCol w:w="128"/>
        <w:gridCol w:w="942"/>
        <w:gridCol w:w="60"/>
        <w:gridCol w:w="60"/>
        <w:gridCol w:w="107"/>
        <w:gridCol w:w="1009"/>
        <w:gridCol w:w="60"/>
        <w:gridCol w:w="60"/>
        <w:gridCol w:w="95"/>
        <w:gridCol w:w="910"/>
        <w:gridCol w:w="78"/>
      </w:tblGrid>
      <w:tr>
        <w:trPr/>
        <w:tc>
          <w:tcPr>
            <w:tcW w:w="5396"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center"/>
              <w:rPr/>
            </w:pPr>
            <w:r>
              <w:rPr/>
              <w:t> </w:t>
            </w:r>
          </w:p>
        </w:tc>
        <w:tc>
          <w:tcPr>
            <w:tcW w:w="96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0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tc>
        <w:tc>
          <w:tcPr>
            <w:tcW w:w="78" w:type="dxa"/>
            <w:tcBorders/>
            <w:tcMar>
              <w:bottom w:w="0" w:type="dxa"/>
            </w:tcMar>
            <w:vAlign w:val="center"/>
          </w:tcPr>
          <w:p>
            <w:pPr>
              <w:pStyle w:val="TableContents"/>
              <w:bidi w:val="0"/>
              <w:spacing w:before="0" w:after="283"/>
              <w:jc w:val="center"/>
              <w:rPr/>
            </w:pPr>
            <w:r>
              <w:rPr/>
              <w:t> </w:t>
            </w:r>
          </w:p>
        </w:tc>
      </w:tr>
      <w:tr>
        <w:trPr/>
        <w:tc>
          <w:tcPr>
            <w:tcW w:w="539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65" w:type="dxa"/>
            <w:gridSpan w:val="2"/>
            <w:tcBorders/>
            <w:tcMar>
              <w:bottom w:w="0" w:type="dxa"/>
            </w:tcMar>
            <w:vAlign w:val="center"/>
          </w:tcPr>
          <w:p>
            <w:pPr>
              <w:pStyle w:val="TableContents"/>
              <w:bidi w:val="0"/>
              <w:spacing w:before="0" w:after="283"/>
              <w:jc w:val="center"/>
              <w:rPr/>
            </w:pPr>
            <w:r>
              <w:rPr/>
              <w:t> </w:t>
            </w:r>
          </w:p>
        </w:tc>
        <w:tc>
          <w:tcPr>
            <w:tcW w:w="2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tcMar>
              <w:bottom w:w="0" w:type="dxa"/>
            </w:tcMar>
            <w:vAlign w:val="center"/>
          </w:tcPr>
          <w:p>
            <w:pPr>
              <w:pStyle w:val="TableContents"/>
              <w:bidi w:val="0"/>
              <w:spacing w:before="0" w:after="283"/>
              <w:jc w:val="center"/>
              <w:rPr/>
            </w:pPr>
            <w:r>
              <w:rPr/>
              <w:t>(US$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6"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05" w:type="dxa"/>
            <w:gridSpan w:val="2"/>
            <w:tcBorders/>
            <w:tcMar>
              <w:bottom w:w="0" w:type="dxa"/>
            </w:tcMar>
            <w:vAlign w:val="center"/>
          </w:tcPr>
          <w:p>
            <w:pPr>
              <w:pStyle w:val="TableContents"/>
              <w:bidi w:val="0"/>
              <w:spacing w:before="0" w:after="283"/>
              <w:jc w:val="center"/>
              <w:rPr/>
            </w:pPr>
            <w:r>
              <w:rPr/>
              <w:t>(RMB million)</w:t>
            </w:r>
          </w:p>
        </w:tc>
        <w:tc>
          <w:tcPr>
            <w:tcW w:w="78" w:type="dxa"/>
            <w:tcBorders/>
            <w:tcMar>
              <w:bottom w:w="0" w:type="dxa"/>
            </w:tcMar>
            <w:vAlign w:val="center"/>
          </w:tcPr>
          <w:p>
            <w:pPr>
              <w:pStyle w:val="TableContents"/>
              <w:bidi w:val="0"/>
              <w:spacing w:before="0" w:after="283"/>
              <w:jc w:val="center"/>
              <w:rPr/>
            </w:pPr>
            <w:r>
              <w:rPr/>
              <w:t> </w:t>
            </w:r>
          </w:p>
        </w:tc>
      </w:tr>
      <w:tr>
        <w:trPr/>
        <w:tc>
          <w:tcPr>
            <w:tcW w:w="539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5" w:type="dxa"/>
            <w:gridSpan w:val="2"/>
            <w:tcBorders/>
            <w:tcMar>
              <w:bottom w:w="0" w:type="dxa"/>
            </w:tcMar>
            <w:vAlign w:val="center"/>
          </w:tcPr>
          <w:p>
            <w:pPr>
              <w:pStyle w:val="TableContents"/>
              <w:bidi w:val="0"/>
              <w:spacing w:before="0" w:after="283"/>
              <w:jc w:val="right"/>
              <w:rPr/>
            </w:pPr>
            <w:r>
              <w:rPr/>
              <w:t> </w:t>
            </w:r>
          </w:p>
        </w:tc>
        <w:tc>
          <w:tcPr>
            <w:tcW w:w="78" w:type="dxa"/>
            <w:tcBorders/>
            <w:tcMar>
              <w:bottom w:w="0" w:type="dxa"/>
            </w:tcMar>
            <w:vAlign w:val="center"/>
          </w:tcPr>
          <w:p>
            <w:pPr>
              <w:pStyle w:val="TableContents"/>
              <w:bidi w:val="0"/>
              <w:spacing w:before="0" w:after="283"/>
              <w:ind w:left="0" w:right="0" w:hanging="238"/>
              <w:jc w:val="left"/>
              <w:rPr/>
            </w:pPr>
            <w:r>
              <w:rPr/>
              <w:t> </w:t>
            </w:r>
          </w:p>
        </w:tc>
      </w:tr>
      <w:tr>
        <w:trPr/>
        <w:tc>
          <w:tcPr>
            <w:tcW w:w="5396" w:type="dxa"/>
            <w:tcBorders/>
            <w:shd w:fill="CCEEFF" w:val="clear"/>
            <w:tcMar>
              <w:bottom w:w="0" w:type="dxa"/>
            </w:tcMar>
            <w:vAlign w:val="center"/>
          </w:tcPr>
          <w:p>
            <w:pPr>
              <w:pStyle w:val="TableContents"/>
              <w:bidi w:val="0"/>
              <w:spacing w:before="0" w:after="283"/>
              <w:jc w:val="left"/>
              <w:rPr/>
            </w:pPr>
            <w:r>
              <w:rPr/>
              <w:t>Development of the Company’s Core Product, HQP1351 and the Company’s key product candidate, APG-2575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90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467.5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283"/>
              <w:jc w:val="right"/>
              <w:rPr/>
            </w:pPr>
            <w:r>
              <w:rPr/>
              <w:t>467.5</w:t>
            </w:r>
          </w:p>
        </w:tc>
        <w:tc>
          <w:tcPr>
            <w:tcW w:w="78"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5396" w:type="dxa"/>
            <w:tcBorders/>
            <w:shd w:fill="FFFFFF" w:val="clear"/>
            <w:tcMar>
              <w:bottom w:w="0" w:type="dxa"/>
            </w:tcMar>
            <w:vAlign w:val="center"/>
          </w:tcPr>
          <w:p>
            <w:pPr>
              <w:pStyle w:val="TableContents"/>
              <w:bidi w:val="0"/>
              <w:spacing w:before="0" w:after="283"/>
              <w:jc w:val="left"/>
              <w:rPr/>
            </w:pPr>
            <w:r>
              <w:rPr/>
              <w:t>Development of the Company’s other key product candidates</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834" w:type="dxa"/>
            <w:tcBorders>
              <w:bottom w:val="single" w:sz="12" w:space="0" w:color="000000"/>
            </w:tcBorders>
            <w:shd w:fill="FFFFFF" w:val="cle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vAlign w:val="center"/>
          </w:tcPr>
          <w:p>
            <w:pPr>
              <w:pStyle w:val="TableContents"/>
              <w:bidi w:val="0"/>
              <w:spacing w:before="0" w:after="283"/>
              <w:jc w:val="left"/>
              <w:rPr/>
            </w:pPr>
            <w:r>
              <w:rPr/>
              <w:t> </w:t>
            </w:r>
          </w:p>
        </w:tc>
        <w:tc>
          <w:tcPr>
            <w:tcW w:w="942" w:type="dxa"/>
            <w:tcBorders>
              <w:bottom w:val="single" w:sz="12" w:space="0" w:color="000000"/>
            </w:tcBorders>
            <w:shd w:fill="FFFFFF" w:val="clear"/>
            <w:vAlign w:val="center"/>
          </w:tcPr>
          <w:p>
            <w:pPr>
              <w:pStyle w:val="TableContents"/>
              <w:bidi w:val="0"/>
              <w:spacing w:before="0" w:after="283"/>
              <w:jc w:val="right"/>
              <w:rPr/>
            </w:pPr>
            <w:r>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9" w:type="dxa"/>
            <w:tcBorders>
              <w:bottom w:val="single" w:sz="12" w:space="0" w:color="000000"/>
            </w:tcBorders>
            <w:shd w:fill="FFFFFF" w:val="clear"/>
            <w:vAlign w:val="center"/>
          </w:tcPr>
          <w:p>
            <w:pPr>
              <w:pStyle w:val="TableContents"/>
              <w:bidi w:val="0"/>
              <w:spacing w:before="0" w:after="283"/>
              <w:jc w:val="right"/>
              <w:rPr/>
            </w:pPr>
            <w:r>
              <w:rPr/>
              <w:t>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910" w:type="dxa"/>
            <w:tcBorders>
              <w:bottom w:val="single" w:sz="12" w:space="0" w:color="000000"/>
            </w:tcBorders>
            <w:shd w:fill="FFFFFF" w:val="clear"/>
            <w:vAlign w:val="center"/>
          </w:tcPr>
          <w:p>
            <w:pPr>
              <w:pStyle w:val="TableContents"/>
              <w:bidi w:val="0"/>
              <w:spacing w:before="0" w:after="283"/>
              <w:jc w:val="right"/>
              <w:rPr/>
            </w:pPr>
            <w:r>
              <w:rPr/>
              <w:t>51.9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539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94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910" w:type="dxa"/>
            <w:tcBorders/>
            <w:shd w:fill="CCEEFF" w:val="clear"/>
            <w:tcMar>
              <w:bottom w:w="0" w:type="dxa"/>
            </w:tcMar>
            <w:vAlign w:val="center"/>
          </w:tcPr>
          <w:p>
            <w:pPr>
              <w:pStyle w:val="TableContents"/>
              <w:bidi w:val="0"/>
              <w:spacing w:before="0" w:after="283"/>
              <w:jc w:val="right"/>
              <w:rPr/>
            </w:pPr>
            <w:r>
              <w:rPr/>
              <w:t> </w:t>
            </w:r>
          </w:p>
        </w:tc>
        <w:tc>
          <w:tcPr>
            <w:tcW w:w="78" w:type="dxa"/>
            <w:tcBorders/>
            <w:shd w:fill="CCEEFF" w:val="clear"/>
            <w:tcMar>
              <w:bottom w:w="0" w:type="dxa"/>
            </w:tcMar>
            <w:vAlign w:val="center"/>
          </w:tcPr>
          <w:p>
            <w:pPr>
              <w:pStyle w:val="TableContents"/>
              <w:bidi w:val="0"/>
              <w:spacing w:before="0" w:after="283"/>
              <w:ind w:left="0" w:right="0" w:hanging="238"/>
              <w:jc w:val="left"/>
              <w:rPr/>
            </w:pPr>
            <w:r>
              <w:rPr/>
              <w:t> </w:t>
            </w:r>
          </w:p>
        </w:tc>
      </w:tr>
      <w:tr>
        <w:trPr/>
        <w:tc>
          <w:tcPr>
            <w:tcW w:w="5396" w:type="dxa"/>
            <w:tcBorders/>
            <w:shd w:fill="FFFFFF" w:val="clear"/>
            <w:tcMar>
              <w:bottom w:w="0" w:type="dxa"/>
            </w:tcMar>
            <w:vAlign w:val="center"/>
          </w:tcPr>
          <w:p>
            <w:pPr>
              <w:pStyle w:val="TableContents"/>
              <w:bidi w:val="0"/>
              <w:spacing w:before="0" w:after="283"/>
              <w:jc w:val="left"/>
              <w:rPr/>
            </w:pPr>
            <w:r>
              <w:rPr/>
              <w:t>Total</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31" w:type="dxa"/>
            <w:tcBorders>
              <w:bottom w:val="single" w:sz="12" w:space="0" w:color="000000"/>
            </w:tcBorders>
            <w:shd w:fill="FFFFFF" w:val="clear"/>
            <w:vAlign w:val="center"/>
          </w:tcPr>
          <w:p>
            <w:pPr>
              <w:pStyle w:val="TableContents"/>
              <w:bidi w:val="0"/>
              <w:spacing w:before="0" w:after="283"/>
              <w:jc w:val="left"/>
              <w:rPr/>
            </w:pPr>
            <w:r>
              <w:rPr/>
              <w:t> </w:t>
            </w:r>
          </w:p>
        </w:tc>
        <w:tc>
          <w:tcPr>
            <w:tcW w:w="834" w:type="dxa"/>
            <w:tcBorders>
              <w:bottom w:val="single" w:sz="12" w:space="0" w:color="000000"/>
            </w:tcBorders>
            <w:shd w:fill="FFFFFF" w:val="clear"/>
            <w:vAlign w:val="center"/>
          </w:tcPr>
          <w:p>
            <w:pPr>
              <w:pStyle w:val="TableContents"/>
              <w:bidi w:val="0"/>
              <w:spacing w:before="0" w:after="283"/>
              <w:jc w:val="right"/>
              <w:rPr/>
            </w:pPr>
            <w:r>
              <w:rPr/>
              <w:t>100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vAlign w:val="center"/>
          </w:tcPr>
          <w:p>
            <w:pPr>
              <w:pStyle w:val="TableContents"/>
              <w:bidi w:val="0"/>
              <w:spacing w:before="0" w:after="283"/>
              <w:jc w:val="left"/>
              <w:rPr/>
            </w:pPr>
            <w:r>
              <w:rPr/>
              <w:t> </w:t>
            </w:r>
          </w:p>
        </w:tc>
        <w:tc>
          <w:tcPr>
            <w:tcW w:w="942" w:type="dxa"/>
            <w:tcBorders>
              <w:bottom w:val="single" w:sz="12" w:space="0" w:color="000000"/>
            </w:tcBorders>
            <w:shd w:fill="FFFFFF" w:val="clear"/>
            <w:vAlign w:val="center"/>
          </w:tcPr>
          <w:p>
            <w:pPr>
              <w:pStyle w:val="TableContents"/>
              <w:bidi w:val="0"/>
              <w:spacing w:before="0" w:after="283"/>
              <w:jc w:val="right"/>
              <w:rPr/>
            </w:pPr>
            <w:r>
              <w:rPr/>
              <w:t>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vAlign w:val="center"/>
          </w:tcPr>
          <w:p>
            <w:pPr>
              <w:pStyle w:val="TableContents"/>
              <w:bidi w:val="0"/>
              <w:spacing w:before="0" w:after="283"/>
              <w:jc w:val="left"/>
              <w:rPr/>
            </w:pPr>
            <w:r>
              <w:rPr/>
              <w:t> </w:t>
            </w:r>
          </w:p>
        </w:tc>
        <w:tc>
          <w:tcPr>
            <w:tcW w:w="1009" w:type="dxa"/>
            <w:tcBorders>
              <w:bottom w:val="single" w:sz="12" w:space="0" w:color="000000"/>
            </w:tcBorders>
            <w:shd w:fill="FFFFFF" w:val="clear"/>
            <w:vAlign w:val="center"/>
          </w:tcPr>
          <w:p>
            <w:pPr>
              <w:pStyle w:val="TableContents"/>
              <w:bidi w:val="0"/>
              <w:spacing w:before="0" w:after="283"/>
              <w:jc w:val="right"/>
              <w:rPr/>
            </w:pPr>
            <w:r>
              <w:rPr/>
              <w:t>519.4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5" w:type="dxa"/>
            <w:tcBorders>
              <w:bottom w:val="single" w:sz="12" w:space="0" w:color="000000"/>
            </w:tcBorders>
            <w:shd w:fill="FFFFFF" w:val="clear"/>
            <w:vAlign w:val="center"/>
          </w:tcPr>
          <w:p>
            <w:pPr>
              <w:pStyle w:val="TableContents"/>
              <w:bidi w:val="0"/>
              <w:spacing w:before="0" w:after="283"/>
              <w:jc w:val="left"/>
              <w:rPr/>
            </w:pPr>
            <w:r>
              <w:rPr/>
              <w:t> </w:t>
            </w:r>
          </w:p>
        </w:tc>
        <w:tc>
          <w:tcPr>
            <w:tcW w:w="910" w:type="dxa"/>
            <w:tcBorders>
              <w:bottom w:val="single" w:sz="12" w:space="0" w:color="000000"/>
            </w:tcBorders>
            <w:shd w:fill="FFFFFF" w:val="clear"/>
            <w:vAlign w:val="center"/>
          </w:tcPr>
          <w:p>
            <w:pPr>
              <w:pStyle w:val="TableContents"/>
              <w:bidi w:val="0"/>
              <w:spacing w:before="0" w:after="283"/>
              <w:jc w:val="right"/>
              <w:rPr/>
            </w:pPr>
            <w:r>
              <w:rPr/>
              <w:t>519.4</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113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59"/>
        <w:gridCol w:w="9686"/>
      </w:tblGrid>
      <w:tr>
        <w:trPr/>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w:t>
            </w:r>
          </w:p>
        </w:tc>
        <w:tc>
          <w:tcPr>
            <w:tcW w:w="9686" w:type="dxa"/>
            <w:tcBorders/>
            <w:vAlign w:val="center"/>
          </w:tcPr>
          <w:p>
            <w:pPr>
              <w:pStyle w:val="TableContents"/>
              <w:bidi w:val="0"/>
              <w:spacing w:before="0" w:after="283"/>
              <w:jc w:val="both"/>
              <w:rPr/>
            </w:pPr>
            <w:r>
              <w:rPr/>
              <w:t>The sum of the data may not add up to the total due to rounding.</w:t>
            </w:r>
          </w:p>
        </w:tc>
      </w:tr>
    </w:tbl>
    <w:p>
      <w:pPr>
        <w:pStyle w:val="TextBody"/>
        <w:bidi w:val="0"/>
        <w:spacing w:before="0" w:after="0"/>
        <w:ind w:left="360" w:right="0" w:hanging="453"/>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283"/>
              <w:jc w:val="both"/>
              <w:rPr/>
            </w:pPr>
            <w:r>
              <w:rPr/>
              <w:t>Net proceeds from the 2024 Share Subscription were received in U.S. dollars and translated to RMB for application planning. The plan was adjusted slightly due to the fluctuation of the exchange rate since the 2024 Share Subscription.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Net Proceeds from the U.S.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28, 2025, we completed our U.S. initial public offering in which we offered and sold an aggregate 7,325,000 ADSs at an offer price of US$17.25 per ADS, representing 29,300,000 ordinary shares of the Company for gross proceeds of approximately US$126.4 million (equivalent to approximately HK$983.8 million). On February 13, 2025, in connection with the underwriters’ exercise of their over-allotment option, we issued an additional 935,144 ADSs at an offer price of US$17.25 per ADS, representing 3,740,576 ordinary shares of the Company for gross proceeds of approximately US$16.13 million (equivalent to approximately HK$125.6 million). Each ADS represents 4 ordinary shares. Our ADSs are listed on the NASDAQ under the symbol “AAPG”.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we issued a total of 8,260,144 ADSs (representing 33,040,576 ordinary shares). After the issuance, the total number of our issued and outstanding ordinary shares increased from 315,226,005 shares to 348,266,581 shares. The aggregate gross proceeds raised under the offering were approximately US$142.5 million (equivalent to approximately HK$1,109.4 million). The net proceeds under the offering were approximately US$132.5 million (equivalent to approximately HK$1,031.8 million) after deduction of the underwriting discounts and commissions of approximately US$10.0 million (equivalent to approximately HK$77.7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change in our intended use of the net proceeds from our U.S. initial public offering as previously disclosed in our announcements dated February 2, 2025 and February 13, 2025 and the Company will gradually utilize the net proceeds in accordance with such intended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details, please refer to the announcements issued by the Company on December 29, 2024, January 21, 2025, January 24, 2025, February 2, 2025, and February 13,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planned applications of the net proceeds from the offering and the actual usage up to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8"/>
        <w:gridCol w:w="60"/>
        <w:gridCol w:w="905"/>
        <w:gridCol w:w="60"/>
        <w:gridCol w:w="87"/>
        <w:gridCol w:w="825"/>
        <w:gridCol w:w="60"/>
        <w:gridCol w:w="60"/>
        <w:gridCol w:w="87"/>
        <w:gridCol w:w="825"/>
        <w:gridCol w:w="60"/>
        <w:gridCol w:w="60"/>
        <w:gridCol w:w="69"/>
        <w:gridCol w:w="661"/>
        <w:gridCol w:w="60"/>
        <w:gridCol w:w="60"/>
        <w:gridCol w:w="89"/>
        <w:gridCol w:w="837"/>
        <w:gridCol w:w="60"/>
        <w:gridCol w:w="60"/>
        <w:gridCol w:w="1282"/>
      </w:tblGrid>
      <w:tr>
        <w:trPr/>
        <w:tc>
          <w:tcPr>
            <w:tcW w:w="3938" w:type="dxa"/>
            <w:tcBorders>
              <w:bottom w:val="single" w:sz="12" w:space="0" w:color="000000"/>
            </w:tcBorders>
            <w:vAlign w:val="center"/>
          </w:tcPr>
          <w:p>
            <w:pPr>
              <w:pStyle w:val="TableContents"/>
              <w:bidi w:val="0"/>
              <w:spacing w:before="0" w:after="283"/>
              <w:jc w:val="left"/>
              <w:rPr>
                <w:b/>
              </w:rPr>
            </w:pPr>
            <w:r>
              <w:rPr>
                <w:b/>
              </w:rPr>
              <w:t>Use of proceeds</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proceeds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during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Unutilized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Expected timeline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utilizing the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remaining balance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net proceeds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the offering</w:t>
            </w:r>
          </w:p>
        </w:tc>
      </w:tr>
      <w:tr>
        <w:trPr/>
        <w:tc>
          <w:tcPr>
            <w:tcW w:w="393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pPr>
            <w:r>
              <w:rPr/>
              <w:t>(US$ million)</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0"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 w:type="dxa"/>
            <w:gridSpan w:val="2"/>
            <w:tcBorders/>
            <w:tcMar>
              <w:bottom w:w="0" w:type="dxa"/>
            </w:tcMar>
            <w:vAlign w:val="center"/>
          </w:tcPr>
          <w:p>
            <w:pPr>
              <w:pStyle w:val="TableContents"/>
              <w:bidi w:val="0"/>
              <w:spacing w:before="0" w:after="283"/>
              <w:jc w:val="center"/>
              <w:rPr/>
            </w:pPr>
            <w:r>
              <w:rPr/>
              <w:t>(RMB million)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tcBorders/>
            <w:tcMar>
              <w:bottom w:w="0" w:type="dxa"/>
            </w:tcMar>
            <w:vAlign w:val="center"/>
          </w:tcPr>
          <w:p>
            <w:pPr>
              <w:pStyle w:val="TableContents"/>
              <w:bidi w:val="0"/>
              <w:spacing w:before="0" w:after="283"/>
              <w:jc w:val="center"/>
              <w:rPr/>
            </w:pPr>
            <w:r>
              <w:rPr/>
              <w:t> </w:t>
            </w:r>
          </w:p>
        </w:tc>
      </w:tr>
      <w:tr>
        <w:trPr/>
        <w:tc>
          <w:tcPr>
            <w:tcW w:w="39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2"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3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2" w:type="dxa"/>
            <w:tcBorders/>
            <w:tcMar>
              <w:bottom w:w="0" w:type="dxa"/>
            </w:tcMar>
            <w:vAlign w:val="center"/>
          </w:tcPr>
          <w:p>
            <w:pPr>
              <w:pStyle w:val="TableContents"/>
              <w:bidi w:val="0"/>
              <w:spacing w:before="0" w:after="283"/>
              <w:ind w:left="0" w:right="0" w:hanging="141"/>
              <w:jc w:val="right"/>
              <w:rPr/>
            </w:pPr>
            <w:r>
              <w:rPr/>
              <w:t> </w:t>
            </w:r>
          </w:p>
        </w:tc>
      </w:tr>
      <w:tr>
        <w:trPr/>
        <w:tc>
          <w:tcPr>
            <w:tcW w:w="3938" w:type="dxa"/>
            <w:tcBorders/>
            <w:shd w:fill="CCEEFF" w:val="clear"/>
            <w:tcMar>
              <w:bottom w:w="0" w:type="dxa"/>
            </w:tcMar>
            <w:vAlign w:val="center"/>
          </w:tcPr>
          <w:p>
            <w:pPr>
              <w:pStyle w:val="TableContents"/>
              <w:bidi w:val="0"/>
              <w:spacing w:before="0" w:after="283"/>
              <w:jc w:val="left"/>
              <w:rPr/>
            </w:pPr>
            <w:r>
              <w:rPr/>
              <w:t>To pursue NDA approval of Lisaftoclax for R/R CLL in China and to prepare for commercial launch in China, advance the clinical development of Lisaftoclax in the United States and other countries, including completing enrollment for GLORA and pursuing clearance with regulatory authorities to add new trial sites in multiple countries and to pursue additional indications for Lisaftoclax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50.0-60.0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398.4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196.2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227.0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pPr>
            <w:r>
              <w:rPr/>
              <w:t>171.4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ind w:left="0" w:right="0" w:hanging="141"/>
              <w:jc w:val="center"/>
              <w:rPr/>
            </w:pPr>
            <w:r>
              <w:rPr/>
              <w:t>December 31,</w:t>
              <w:br/>
              <w:t>2026</w:t>
            </w:r>
          </w:p>
        </w:tc>
      </w:tr>
      <w:tr>
        <w:trPr/>
        <w:tc>
          <w:tcPr>
            <w:tcW w:w="3938" w:type="dxa"/>
            <w:tcBorders/>
            <w:shd w:fill="FFFFFF" w:val="clear"/>
            <w:tcMar>
              <w:bottom w:w="0" w:type="dxa"/>
            </w:tcMar>
            <w:vAlign w:val="center"/>
          </w:tcPr>
          <w:p>
            <w:pPr>
              <w:pStyle w:val="TableContents"/>
              <w:bidi w:val="0"/>
              <w:spacing w:before="0" w:after="283"/>
              <w:jc w:val="left"/>
              <w:rPr/>
            </w:pPr>
            <w:r>
              <w:rPr/>
              <w:t>To advance the clinical development of Olverembatinib in the United States and other countries, including completing enrollment for POLARIS-2 and pursuing clearance with regulatory authorities to add new trial sites in multiple countries, and to expand the label of Olverembatinib into earlier lines and other indications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pPr>
            <w:r>
              <w:rPr/>
              <w:t>30.0-40.0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253.5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124.8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shd w:fill="FFFFFF" w:val="clear"/>
            <w:tcMar>
              <w:bottom w:w="0" w:type="dxa"/>
            </w:tcMar>
            <w:vAlign w:val="center"/>
          </w:tcPr>
          <w:p>
            <w:pPr>
              <w:pStyle w:val="TableContents"/>
              <w:bidi w:val="0"/>
              <w:spacing w:before="0" w:after="283"/>
              <w:jc w:val="left"/>
              <w:rPr/>
            </w:pPr>
            <w:r>
              <w:rPr/>
              <w:t> </w:t>
            </w:r>
          </w:p>
        </w:tc>
        <w:tc>
          <w:tcPr>
            <w:tcW w:w="661" w:type="dxa"/>
            <w:tcBorders/>
            <w:shd w:fill="FFFFFF" w:val="clear"/>
            <w:tcMar>
              <w:bottom w:w="0" w:type="dxa"/>
            </w:tcMar>
            <w:vAlign w:val="center"/>
          </w:tcPr>
          <w:p>
            <w:pPr>
              <w:pStyle w:val="TableContents"/>
              <w:bidi w:val="0"/>
              <w:spacing w:before="0" w:after="283"/>
              <w:jc w:val="right"/>
              <w:rPr/>
            </w:pPr>
            <w:r>
              <w:rPr/>
              <w:t>144.5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37" w:type="dxa"/>
            <w:tcBorders/>
            <w:shd w:fill="FFFFFF" w:val="clear"/>
            <w:tcMar>
              <w:bottom w:w="0" w:type="dxa"/>
            </w:tcMar>
            <w:vAlign w:val="center"/>
          </w:tcPr>
          <w:p>
            <w:pPr>
              <w:pStyle w:val="TableContents"/>
              <w:bidi w:val="0"/>
              <w:spacing w:before="0" w:after="283"/>
              <w:jc w:val="right"/>
              <w:rPr/>
            </w:pPr>
            <w:r>
              <w:rPr/>
              <w:t>109.1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ind w:left="0" w:right="0" w:hanging="141"/>
              <w:jc w:val="center"/>
              <w:rPr/>
            </w:pPr>
            <w:r>
              <w:rPr/>
              <w:t>December 31, 2026</w:t>
            </w:r>
          </w:p>
        </w:tc>
      </w:tr>
      <w:tr>
        <w:trPr/>
        <w:tc>
          <w:tcPr>
            <w:tcW w:w="3938" w:type="dxa"/>
            <w:tcBorders/>
            <w:shd w:fill="CCEEFF" w:val="clear"/>
            <w:tcMar>
              <w:bottom w:w="0" w:type="dxa"/>
            </w:tcMar>
            <w:vAlign w:val="center"/>
          </w:tcPr>
          <w:p>
            <w:pPr>
              <w:pStyle w:val="TableContents"/>
              <w:bidi w:val="0"/>
              <w:spacing w:before="0" w:after="283"/>
              <w:jc w:val="left"/>
              <w:rPr/>
            </w:pPr>
            <w:r>
              <w:rPr/>
              <w:t>To fund the research and development of our other product candidates, including completing the Phase 1 clinical trial for APG-5918 in anemia and pursuing clearance to initiate a registrational trial for alrizomadlin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10.0-20.0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181.1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89.2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103.2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pPr>
            <w:r>
              <w:rPr/>
              <w:t>77.9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ind w:left="0" w:right="0" w:hanging="141"/>
              <w:jc w:val="center"/>
              <w:rPr/>
            </w:pPr>
            <w:r>
              <w:rPr/>
              <w:t>December 31, 2026</w:t>
            </w:r>
          </w:p>
        </w:tc>
      </w:tr>
      <w:tr>
        <w:trPr/>
        <w:tc>
          <w:tcPr>
            <w:tcW w:w="3938" w:type="dxa"/>
            <w:tcBorders/>
            <w:shd w:fill="FFFFFF" w:val="clear"/>
            <w:tcMar>
              <w:bottom w:w="0" w:type="dxa"/>
            </w:tcMar>
            <w:vAlign w:val="center"/>
          </w:tcPr>
          <w:p>
            <w:pPr>
              <w:pStyle w:val="TableContents"/>
              <w:bidi w:val="0"/>
              <w:spacing w:before="0" w:after="283"/>
              <w:jc w:val="left"/>
              <w:rPr/>
            </w:pPr>
            <w:r>
              <w:rPr/>
              <w:t>For the development of our future pipeline programs and for working capital and general corporate purposes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10.0-20.0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825" w:type="dxa"/>
            <w:tcBorders>
              <w:bottom w:val="single" w:sz="12" w:space="0" w:color="000000"/>
            </w:tcBorders>
            <w:shd w:fill="FFFFFF" w:val="clear"/>
            <w:vAlign w:val="center"/>
          </w:tcPr>
          <w:p>
            <w:pPr>
              <w:pStyle w:val="TableContents"/>
              <w:bidi w:val="0"/>
              <w:spacing w:before="0" w:after="283"/>
              <w:jc w:val="right"/>
              <w:rPr/>
            </w:pPr>
            <w:r>
              <w:rPr/>
              <w:t>126.8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825" w:type="dxa"/>
            <w:tcBorders>
              <w:bottom w:val="single" w:sz="12" w:space="0" w:color="000000"/>
            </w:tcBorders>
            <w:shd w:fill="FFFFFF" w:val="clear"/>
            <w:vAlign w:val="center"/>
          </w:tcPr>
          <w:p>
            <w:pPr>
              <w:pStyle w:val="TableContents"/>
              <w:bidi w:val="0"/>
              <w:spacing w:before="0" w:after="283"/>
              <w:jc w:val="right"/>
              <w:rPr/>
            </w:pPr>
            <w:r>
              <w:rPr/>
              <w:t>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shd w:fill="FFFFFF" w:val="clear"/>
            <w:vAlign w:val="center"/>
          </w:tcPr>
          <w:p>
            <w:pPr>
              <w:pStyle w:val="TableContents"/>
              <w:bidi w:val="0"/>
              <w:spacing w:before="0" w:after="283"/>
              <w:jc w:val="left"/>
              <w:rPr/>
            </w:pPr>
            <w:r>
              <w:rPr/>
              <w:t> </w:t>
            </w:r>
          </w:p>
        </w:tc>
        <w:tc>
          <w:tcPr>
            <w:tcW w:w="661" w:type="dxa"/>
            <w:tcBorders>
              <w:bottom w:val="single" w:sz="12" w:space="0" w:color="000000"/>
            </w:tcBorders>
            <w:shd w:fill="FFFFFF" w:val="clear"/>
            <w:vAlign w:val="center"/>
          </w:tcPr>
          <w:p>
            <w:pPr>
              <w:pStyle w:val="TableContents"/>
              <w:bidi w:val="0"/>
              <w:spacing w:before="0" w:after="283"/>
              <w:jc w:val="right"/>
              <w:rPr/>
            </w:pPr>
            <w:r>
              <w:rPr/>
              <w:t>72.2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37" w:type="dxa"/>
            <w:tcBorders>
              <w:bottom w:val="single" w:sz="12" w:space="0" w:color="000000"/>
            </w:tcBorders>
            <w:shd w:fill="FFFFFF" w:val="clear"/>
            <w:vAlign w:val="center"/>
          </w:tcPr>
          <w:p>
            <w:pPr>
              <w:pStyle w:val="TableContents"/>
              <w:bidi w:val="0"/>
              <w:spacing w:before="0" w:after="283"/>
              <w:jc w:val="right"/>
              <w:rPr/>
            </w:pPr>
            <w:r>
              <w:rPr/>
              <w:t>54.5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center"/>
              <w:rPr/>
            </w:pPr>
            <w:r>
              <w:rPr/>
              <w:t>December 31, 2026</w:t>
            </w:r>
          </w:p>
        </w:tc>
      </w:tr>
      <w:tr>
        <w:trPr/>
        <w:tc>
          <w:tcPr>
            <w:tcW w:w="39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66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2" w:type="dxa"/>
            <w:tcBorders/>
            <w:shd w:fill="CCEEFF" w:val="clear"/>
            <w:tcMar>
              <w:bottom w:w="0" w:type="dxa"/>
            </w:tcMar>
            <w:vAlign w:val="center"/>
          </w:tcPr>
          <w:p>
            <w:pPr>
              <w:pStyle w:val="TableContents"/>
              <w:bidi w:val="0"/>
              <w:spacing w:before="0" w:after="283"/>
              <w:ind w:left="0" w:right="0" w:hanging="170"/>
              <w:jc w:val="center"/>
              <w:rPr/>
            </w:pPr>
            <w:r>
              <w:rPr/>
              <w:t> </w:t>
            </w:r>
          </w:p>
        </w:tc>
      </w:tr>
      <w:tr>
        <w:trPr/>
        <w:tc>
          <w:tcPr>
            <w:tcW w:w="3938"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5" w:type="dxa"/>
            <w:tcBorders>
              <w:bottom w:val="single" w:sz="12" w:space="0" w:color="000000"/>
            </w:tcBorders>
            <w:shd w:fill="FFFFFF" w:val="clear"/>
            <w:vAlign w:val="center"/>
          </w:tcPr>
          <w:p>
            <w:pPr>
              <w:pStyle w:val="TableContents"/>
              <w:bidi w:val="0"/>
              <w:spacing w:before="0" w:after="283"/>
              <w:jc w:val="right"/>
              <w:rPr/>
            </w:pPr>
            <w:r>
              <w:rPr/>
              <w:t>132.5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825" w:type="dxa"/>
            <w:tcBorders>
              <w:bottom w:val="single" w:sz="12" w:space="0" w:color="000000"/>
            </w:tcBorders>
            <w:shd w:fill="FFFFFF" w:val="clear"/>
            <w:vAlign w:val="center"/>
          </w:tcPr>
          <w:p>
            <w:pPr>
              <w:pStyle w:val="TableContents"/>
              <w:bidi w:val="0"/>
              <w:spacing w:before="0" w:after="283"/>
              <w:jc w:val="right"/>
              <w:rPr/>
            </w:pPr>
            <w:r>
              <w:rPr/>
              <w:t>959.8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bottom w:val="single" w:sz="12" w:space="0" w:color="000000"/>
            </w:tcBorders>
            <w:shd w:fill="FFFFFF" w:val="clear"/>
            <w:vAlign w:val="center"/>
          </w:tcPr>
          <w:p>
            <w:pPr>
              <w:pStyle w:val="TableContents"/>
              <w:bidi w:val="0"/>
              <w:spacing w:before="0" w:after="283"/>
              <w:jc w:val="left"/>
              <w:rPr/>
            </w:pPr>
            <w:r>
              <w:rPr/>
              <w:t> </w:t>
            </w:r>
          </w:p>
        </w:tc>
        <w:tc>
          <w:tcPr>
            <w:tcW w:w="825" w:type="dxa"/>
            <w:tcBorders>
              <w:bottom w:val="single" w:sz="12" w:space="0" w:color="000000"/>
            </w:tcBorders>
            <w:shd w:fill="FFFFFF" w:val="clear"/>
            <w:vAlign w:val="center"/>
          </w:tcPr>
          <w:p>
            <w:pPr>
              <w:pStyle w:val="TableContents"/>
              <w:bidi w:val="0"/>
              <w:spacing w:before="0" w:after="283"/>
              <w:jc w:val="right"/>
              <w:rPr/>
            </w:pPr>
            <w:r>
              <w:rPr/>
              <w:t>472.6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 w:type="dxa"/>
            <w:tcBorders>
              <w:bottom w:val="single" w:sz="12" w:space="0" w:color="000000"/>
            </w:tcBorders>
            <w:shd w:fill="FFFFFF" w:val="clear"/>
            <w:vAlign w:val="center"/>
          </w:tcPr>
          <w:p>
            <w:pPr>
              <w:pStyle w:val="TableContents"/>
              <w:bidi w:val="0"/>
              <w:spacing w:before="0" w:after="283"/>
              <w:jc w:val="left"/>
              <w:rPr/>
            </w:pPr>
            <w:r>
              <w:rPr/>
              <w:t> </w:t>
            </w:r>
          </w:p>
        </w:tc>
        <w:tc>
          <w:tcPr>
            <w:tcW w:w="661" w:type="dxa"/>
            <w:tcBorders>
              <w:bottom w:val="single" w:sz="12" w:space="0" w:color="000000"/>
            </w:tcBorders>
            <w:shd w:fill="FFFFFF" w:val="clear"/>
            <w:vAlign w:val="center"/>
          </w:tcPr>
          <w:p>
            <w:pPr>
              <w:pStyle w:val="TableContents"/>
              <w:bidi w:val="0"/>
              <w:spacing w:before="0" w:after="283"/>
              <w:jc w:val="right"/>
              <w:rPr/>
            </w:pPr>
            <w:r>
              <w:rPr/>
              <w:t>546.9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12" w:space="0" w:color="000000"/>
            </w:tcBorders>
            <w:shd w:fill="FFFFFF" w:val="clear"/>
            <w:vAlign w:val="center"/>
          </w:tcPr>
          <w:p>
            <w:pPr>
              <w:pStyle w:val="TableContents"/>
              <w:bidi w:val="0"/>
              <w:spacing w:before="0" w:after="283"/>
              <w:jc w:val="left"/>
              <w:rPr/>
            </w:pPr>
            <w:r>
              <w:rPr/>
              <w:t> </w:t>
            </w:r>
          </w:p>
        </w:tc>
        <w:tc>
          <w:tcPr>
            <w:tcW w:w="837" w:type="dxa"/>
            <w:tcBorders>
              <w:bottom w:val="single" w:sz="12" w:space="0" w:color="000000"/>
            </w:tcBorders>
            <w:shd w:fill="FFFFFF" w:val="clear"/>
            <w:vAlign w:val="center"/>
          </w:tcPr>
          <w:p>
            <w:pPr>
              <w:pStyle w:val="TableContents"/>
              <w:bidi w:val="0"/>
              <w:spacing w:before="0" w:after="283"/>
              <w:jc w:val="right"/>
              <w:rPr/>
            </w:pPr>
            <w:r>
              <w:rPr/>
              <w:t>412.9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82" w:type="dxa"/>
            <w:tcBorders/>
            <w:shd w:fill="FFFFFF" w:val="clear"/>
            <w:tcMar>
              <w:bottom w:w="0" w:type="dxa"/>
            </w:tcMar>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N.B.</w:t>
      </w:r>
      <w:r>
        <w:rPr>
          <w:rFonts w:ascii="Times New Roman;Times;Serif" w:hAnsi="Times New Roman;Times;Serif"/>
          <w:b w:val="false"/>
          <w:i w:val="false"/>
          <w:caps w:val="false"/>
          <w:smallCaps w:val="false"/>
          <w:sz w:val="20"/>
        </w:rPr>
        <w:t>       The sum of the data may not add up to the total due to rounding.</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2021, the Company and Innovent entered into a warrant subscription deed, pursuant to which the Company agreed to issue to Innovent 6,787,587 warrants. The initial subscription price of each warrant share upon exercise of the warrants is HK$57.20. The subscription rights attaching to the warrants may be exercised during the period commencing on the date of issuance of the warrants and ending on the date that is 24 months after the date of issuance of the warrants. The warrants have expired in July 2023 and not been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 RAISING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Reporting Period, there was no fund raising activity carried out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the Audit Committee with written terms of reference in accordance with the Listing Rules. The Audit Committee comprises two independent non-executive Directors, namely, Mr. Ye Changqing and Ms. Marina S. Bozilenko, and one non-executive Director Dr. Lu Simon Dazhong. Mr. Ye Changqing is the chairman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the Group for the six months ended June 30, 2026 and this interim report have been reviewed by the Group’s external auditor, Ernst &amp; Young, in accordance with the Hong Kong Standard on Review Engagements 2410, “Review of Interim Financial Information Performed by the Independent Auditor of the Entity” issued by the Hong Kong Institute of Certified Public Accountants, and by the Audit Committee. The Audit Committee concluded that such financial statements and this interim report had been prepared in accordance with applicable accounting standards and relevant requirements, and had made adequate disclosure. The Audit Committee has also discussed matters with respect to the accounting policies and practices adopted by the Company and internal control with senior management members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BOARD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Audit Committee, the Company has also established the Nomination Committee, the Remuneration Committee and Research and Development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PLANS FOR MATERIAL INVESTMENTS AND CAPITAL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in this interim report, as at the date of this interim report, there were no future plans regarding material investment or capital assets. As at the date of this interim report, we did not have any material acquisitions or disposals of subsidiaries, associates and joint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committed to achieving high standards of corporate governance. The Directors believe that sound and reasonable corporate governance practices are essential for the continuing growth of the Group and for safeguarding and maximizing shareholders’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the principles and code provisions as set out in the CG Code contained in Appendix C1 to the Listing Rules. Save for the deviation disclosed below, in the opinion of the Directors, the Company has complied with all the code provisions as set out in the CG Code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code provision C.2.1 of the CG Code, companies listed on the Stock Exchange are expected to comply with, but may choose to deviate from the requirement that the responsibilities between the chairman and the chief executive officer should be segregated and should not be performed by the same individual. The Company does not have a separate chairman and chief executive officer, and Dr. Yang currently performs these two roles. The Board believes that such arrangement will not impair the balance of power and authority between the Board and the management of the Company, because (a) decisions to be made by the Board require approval by at least a majority of the Directors and that the Board comprises six independent non-executive Directors, which represents at least one third of the Board composition and satisfies the relevant requirement under the Listing Rules, and we believe that there is sufficient check and balance in the Board; (b) Dr. Yang and other Directors are aware of and undertake to fulfil their fiduciary duties as Directors, which require, among other things, that he acts for the benefit and in the best interests of the Company and will make decisions for the Group accordingly; (c) the balance of power and authority is ensured by the operations of the Board which comprises experienced and high caliber individuals who meet regularly to discuss issues affecting the operations of the Company; and (d) strategic decisions and other key business, financial, and operational policies of the Group are formalized collectively after thorough discussion at both Board and senior management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continue to review the effectiveness of the corporate governance structure of the Group in order to assess whether separation of the roles of chairman of the Board and chief executive officer is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MODEL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adopted our own code of conduct regarding securities transactions, namely the policy on management of securities transactions by directors (the “</w:t>
      </w:r>
      <w:r>
        <w:rPr>
          <w:rFonts w:ascii="Times New Roman;Times;Serif" w:hAnsi="Times New Roman;Times;Serif"/>
          <w:b/>
          <w:i w:val="false"/>
          <w:caps w:val="false"/>
          <w:smallCaps w:val="false"/>
          <w:sz w:val="20"/>
        </w:rPr>
        <w:t>Securities Transactions Code</w:t>
      </w:r>
      <w:r>
        <w:rPr>
          <w:rFonts w:ascii="Times New Roman;Times;Serif" w:hAnsi="Times New Roman;Times;Serif"/>
          <w:b w:val="false"/>
          <w:i w:val="false"/>
          <w:caps w:val="false"/>
          <w:smallCaps w:val="false"/>
          <w:sz w:val="20"/>
        </w:rPr>
        <w:t>”), which applies to all Directors on terms not less exacting than the required standard indicated by the Model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specific enquiry, all Directors confirmed that they have complied with the Model Code and the Securities Transactions Code during the Reporting Period. In addition, the Company is not aware of any non-compliance of the Model Code and the Securities Transactions Code by the senior management of the Group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would like to express its sincere gratitude to the Shareholders, management team, employees, business partners and customers of the Group for their support and contribution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 Yang Dajun</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PRC, 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f_007"/>
      <w:bookmarkEnd w:id="10"/>
      <w:r>
        <w:rPr>
          <w:rFonts w:ascii="Times New Roman;Times;Serif" w:hAnsi="Times New Roman;Times;Serif"/>
          <w:b/>
          <w:i w:val="false"/>
          <w:caps w:val="false"/>
          <w:smallCaps w:val="false"/>
          <w:sz w:val="20"/>
        </w:rPr>
        <w:t>Independent Review Report</w:t>
      </w:r>
    </w:p>
    <w:p>
      <w:pPr>
        <w:pStyle w:val="TextBody"/>
        <w:bidi w:val="0"/>
        <w:spacing w:before="0" w:after="0"/>
        <w:ind w:left="0" w:right="0" w:hanging="0"/>
        <w:jc w:val="both"/>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1710"/>
        <w:gridCol w:w="1985"/>
        <w:gridCol w:w="2090"/>
        <w:gridCol w:w="2225"/>
      </w:tblGrid>
      <w:tr>
        <w:trPr/>
        <w:tc>
          <w:tcPr>
            <w:tcW w:w="1710" w:type="dxa"/>
            <w:tcBorders/>
            <w:vAlign w:val="center"/>
          </w:tcPr>
          <w:p>
            <w:pPr>
              <w:pStyle w:val="TableContents"/>
              <w:bidi w:val="0"/>
              <w:spacing w:before="0" w:after="283"/>
              <w:jc w:val="both"/>
              <w:rPr/>
            </w:pPr>
            <w:r>
              <w:rPr/>
              <w:drawing>
                <wp:inline distT="0" distB="0" distL="0" distR="0">
                  <wp:extent cx="1076325" cy="876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76325" cy="876300"/>
                          </a:xfrm>
                          <a:prstGeom prst="rect">
                            <a:avLst/>
                          </a:prstGeom>
                        </pic:spPr>
                      </pic:pic>
                    </a:graphicData>
                  </a:graphic>
                </wp:inline>
              </w:drawing>
            </w:r>
          </w:p>
        </w:tc>
        <w:tc>
          <w:tcPr>
            <w:tcW w:w="198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27/F, One Taikoo Place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 King’s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Quarry Bay, Hong Kong</w:t>
            </w:r>
          </w:p>
        </w:tc>
        <w:tc>
          <w:tcPr>
            <w:tcW w:w="2090" w:type="dxa"/>
            <w:tcBorders/>
            <w:vAlign w:val="center"/>
          </w:tcPr>
          <w:p>
            <w:pPr>
              <w:pStyle w:val="TableContents"/>
              <w:bidi w:val="0"/>
              <w:spacing w:before="0" w:after="0"/>
              <w:ind w:left="0" w:right="0" w:hanging="0"/>
              <w:jc w:val="left"/>
              <w:rPr>
                <w:rFonts w:eastAsia="Times New Roman;Times;Serif"/>
                <w:b w:val="false"/>
                <w:i w:val="false"/>
                <w:caps w:val="false"/>
                <w:smallCaps w:val="false"/>
                <w:sz w:val="20"/>
              </w:rPr>
            </w:pPr>
            <w:r>
              <w:rPr>
                <w:rFonts w:eastAsia="Times New Roman;Times;Serif"/>
                <w:b w:val="false"/>
                <w:i w:val="false"/>
                <w:caps w:val="false"/>
                <w:smallCaps w:val="false"/>
                <w:sz w:val="20"/>
              </w:rPr>
              <w:t>安永會計師事務所</w:t>
            </w:r>
          </w:p>
          <w:p>
            <w:pPr>
              <w:pStyle w:val="TableContents"/>
              <w:bidi w:val="0"/>
              <w:spacing w:before="0" w:after="0"/>
              <w:ind w:left="0" w:right="0" w:hanging="0"/>
              <w:jc w:val="left"/>
              <w:rPr>
                <w:caps w:val="false"/>
                <w:smallCaps w:val="false"/>
              </w:rPr>
            </w:pPr>
            <w:r>
              <w:rPr>
                <w:rFonts w:eastAsia="Times New Roman;Times;Serif"/>
                <w:b w:val="false"/>
                <w:i w:val="false"/>
                <w:caps w:val="false"/>
                <w:smallCaps w:val="false"/>
                <w:sz w:val="20"/>
              </w:rPr>
              <w:t>香港鰂魚涌英皇道</w:t>
            </w:r>
            <w:r>
              <w:rPr>
                <w:rFonts w:ascii="Times New Roman;Times;Serif" w:hAnsi="Times New Roman;Times;Serif"/>
                <w:b w:val="false"/>
                <w:i w:val="false"/>
                <w:caps w:val="false"/>
                <w:smallCaps w:val="false"/>
                <w:sz w:val="20"/>
              </w:rPr>
              <w:t>979</w:t>
            </w:r>
            <w:r>
              <w:rPr>
                <w:rFonts w:eastAsia="Times New Roman;Times;Serif"/>
                <w:b w:val="false"/>
                <w:i w:val="false"/>
                <w:caps w:val="false"/>
                <w:smallCaps w:val="false"/>
                <w:sz w:val="20"/>
              </w:rPr>
              <w:t>號</w:t>
            </w:r>
          </w:p>
          <w:p>
            <w:pPr>
              <w:pStyle w:val="TableContents"/>
              <w:bidi w:val="0"/>
              <w:spacing w:before="0" w:after="0"/>
              <w:ind w:left="0" w:right="0" w:hanging="0"/>
              <w:jc w:val="left"/>
              <w:rPr>
                <w:caps w:val="false"/>
                <w:smallCaps w:val="false"/>
              </w:rPr>
            </w:pPr>
            <w:r>
              <w:rPr>
                <w:rFonts w:eastAsia="Times New Roman;Times;Serif"/>
                <w:b w:val="false"/>
                <w:i w:val="false"/>
                <w:caps w:val="false"/>
                <w:smallCaps w:val="false"/>
                <w:sz w:val="20"/>
              </w:rPr>
              <w:t>太古坊一座</w:t>
            </w:r>
            <w:r>
              <w:rPr>
                <w:rFonts w:ascii="Times New Roman;Times;Serif" w:hAnsi="Times New Roman;Times;Serif"/>
                <w:b w:val="false"/>
                <w:i w:val="false"/>
                <w:caps w:val="false"/>
                <w:smallCaps w:val="false"/>
                <w:sz w:val="20"/>
              </w:rPr>
              <w:t>27</w:t>
            </w:r>
            <w:r>
              <w:rPr>
                <w:rFonts w:eastAsia="Times New Roman;Times;Serif"/>
                <w:b w:val="false"/>
                <w:i w:val="false"/>
                <w:caps w:val="false"/>
                <w:smallCaps w:val="false"/>
                <w:sz w:val="20"/>
              </w:rPr>
              <w:t>樓</w:t>
            </w:r>
          </w:p>
        </w:tc>
        <w:tc>
          <w:tcPr>
            <w:tcW w:w="2225" w:type="dxa"/>
            <w:tcBorders/>
            <w:vAlign w:val="center"/>
          </w:tcPr>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Tel </w:t>
            </w:r>
            <w:r>
              <w:rPr>
                <w:rFonts w:eastAsia="Times New Roman;Times;Serif"/>
                <w:b w:val="false"/>
                <w:i w:val="false"/>
                <w:caps w:val="false"/>
                <w:smallCaps w:val="false"/>
                <w:sz w:val="20"/>
              </w:rPr>
              <w:t>電話</w:t>
            </w:r>
            <w:r>
              <w:rPr>
                <w:rFonts w:ascii="Times New Roman;Times;Serif" w:hAnsi="Times New Roman;Times;Serif"/>
                <w:b w:val="false"/>
                <w:i w:val="false"/>
                <w:caps w:val="false"/>
                <w:smallCaps w:val="false"/>
                <w:sz w:val="20"/>
              </w:rPr>
              <w:t>: +852 2846 9888</w:t>
            </w:r>
          </w:p>
          <w:p>
            <w:pPr>
              <w:pStyle w:val="TableContents"/>
              <w:bidi w:val="0"/>
              <w:spacing w:before="0" w:after="0"/>
              <w:ind w:left="0" w:right="0" w:hanging="0"/>
              <w:jc w:val="left"/>
              <w:rPr>
                <w:caps w:val="false"/>
                <w:smallCaps w:val="false"/>
              </w:rPr>
            </w:pPr>
            <w:r>
              <w:rPr>
                <w:rFonts w:ascii="Times New Roman;Times;Serif" w:hAnsi="Times New Roman;Times;Serif"/>
                <w:b w:val="false"/>
                <w:i w:val="false"/>
                <w:caps w:val="false"/>
                <w:smallCaps w:val="false"/>
                <w:sz w:val="20"/>
              </w:rPr>
              <w:t xml:space="preserve">Fax </w:t>
            </w:r>
            <w:r>
              <w:rPr>
                <w:rFonts w:eastAsia="Times New Roman;Times;Serif"/>
                <w:b w:val="false"/>
                <w:i w:val="false"/>
                <w:caps w:val="false"/>
                <w:smallCaps w:val="false"/>
                <w:sz w:val="20"/>
              </w:rPr>
              <w:t>傳真</w:t>
            </w:r>
            <w:r>
              <w:rPr>
                <w:rFonts w:ascii="Times New Roman;Times;Serif" w:hAnsi="Times New Roman;Times;Serif"/>
                <w:b w:val="false"/>
                <w:i w:val="false"/>
                <w:caps w:val="false"/>
                <w:smallCaps w:val="false"/>
                <w:sz w:val="20"/>
              </w:rPr>
              <w:t>: +852 2868 4432</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review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board of directors of Ascentage Pharma Group International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Cayman Islands with limited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the interim financial information set out on pages 79 to 100, which comprises the condensed consolidated statement of financial position of Ascentage Pharma Group International (the “Company”) and its subsidiaries (the “Group”) as at 30 June 2026 and the related condensed consolidated statements of profit or loss, comprehensive income, changes in equity and cash flows for the six-month period then ended, and explanatory notes. The Rules Governing the Listing of Securities on The Stock Exchange of Hong Kong Limited require the preparation of a report on interim financial information to be in compliance with the relevant provisions thereof and International Accounting Standard 34 Interim Financial Reporting (“IAS 34”) as issued by the International Accounting Standards Board. The directors of the Company are responsible for the preparation and presentation of this interim financial information in accordance with IAS 34. Our responsibility is to express a conclusion on this interim financial information based on our review. Our report is made solely to you, as a body, in accordance with our agreed terms of engagement, and for no other purpose. We do not assume responsibility towards or accept liability to any other person for the contents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Scope of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review in accordance with Hong Kong Standard on Review Engagements 2410 </w:t>
      </w:r>
      <w:r>
        <w:rPr>
          <w:rFonts w:ascii="Times New Roman;Times;Serif" w:hAnsi="Times New Roman;Times;Serif"/>
          <w:b w:val="false"/>
          <w:i/>
          <w:caps w:val="false"/>
          <w:smallCaps w:val="false"/>
          <w:sz w:val="20"/>
        </w:rPr>
        <w:t>Review of Interim Financial Information Performed by the Independent Auditor of the Entity</w:t>
      </w:r>
      <w:r>
        <w:rPr>
          <w:rFonts w:ascii="Times New Roman;Times;Serif" w:hAnsi="Times New Roman;Times;Serif"/>
          <w:b w:val="false"/>
          <w:i w:val="false"/>
          <w:caps w:val="false"/>
          <w:smallCaps w:val="false"/>
          <w:sz w:val="20"/>
        </w:rPr>
        <w:t xml:space="preserve"> as issued by the Hong Kong Institute of Certified Public Accountants. A review of interim financial information consists of making inquiries, primarily of persons responsible for financial and accounting matters, and applying analytical and other review procedures. A review is substantially less in scope than an audit conducted in accordance with Hong Kong Standards on Auditing and consequently does not enable us to obtain assurance that we would become aware of all significant matters that might be identified in an audit. Accordingly, we do not express an audit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review, nothing has come to our attention that causes us to believe that the interim financial information is not prepared, in all material respects, in accordance with IAS 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Ernst &amp; Young</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Certified Public Accountants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f_008"/>
      <w:bookmarkEnd w:id="11"/>
      <w:r>
        <w:rPr>
          <w:rFonts w:ascii="Times New Roman;Times;Serif" w:hAnsi="Times New Roman;Times;Serif"/>
          <w:b/>
          <w:i w:val="false"/>
          <w:caps w:val="false"/>
          <w:smallCaps w:val="false"/>
          <w:sz w:val="20"/>
        </w:rPr>
        <w:t>Interim Condensed Consolidated Statement of Profit or Loss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94"/>
        <w:gridCol w:w="60"/>
        <w:gridCol w:w="575"/>
        <w:gridCol w:w="60"/>
        <w:gridCol w:w="77"/>
        <w:gridCol w:w="1142"/>
        <w:gridCol w:w="95"/>
        <w:gridCol w:w="60"/>
        <w:gridCol w:w="71"/>
        <w:gridCol w:w="1058"/>
        <w:gridCol w:w="113"/>
      </w:tblGrid>
      <w:tr>
        <w:trPr/>
        <w:tc>
          <w:tcPr>
            <w:tcW w:w="68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RMB’000</w:t>
            </w:r>
          </w:p>
        </w:tc>
        <w:tc>
          <w:tcPr>
            <w:tcW w:w="113" w:type="dxa"/>
            <w:tcBorders/>
            <w:vAlign w:val="center"/>
          </w:tcPr>
          <w:p>
            <w:pPr>
              <w:pStyle w:val="TableContents"/>
              <w:bidi w:val="0"/>
              <w:spacing w:before="0" w:after="283"/>
              <w:jc w:val="left"/>
              <w:rPr/>
            </w:pPr>
            <w:r>
              <w:rPr/>
              <w:t> </w:t>
            </w:r>
          </w:p>
        </w:tc>
      </w:tr>
      <w:tr>
        <w:trPr/>
        <w:tc>
          <w:tcPr>
            <w:tcW w:w="68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302,214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233,699</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(11,723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(21,650</w:t>
            </w:r>
          </w:p>
        </w:tc>
        <w:tc>
          <w:tcPr>
            <w:tcW w:w="113" w:type="dxa"/>
            <w:tcBorders/>
            <w:shd w:fill="FFFFFF" w:val="clear"/>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290,491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212,049</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Other income and gains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44,827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36,661</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Selling and distribution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(226,355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(137,787</w:t>
            </w:r>
          </w:p>
        </w:tc>
        <w:tc>
          <w:tcPr>
            <w:tcW w:w="113" w:type="dxa"/>
            <w:tcBorders/>
            <w:shd w:fill="FFFFFF" w:val="clear"/>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Administrative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(118,930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(99,685</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(697,460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(528,561</w:t>
            </w:r>
          </w:p>
        </w:tc>
        <w:tc>
          <w:tcPr>
            <w:tcW w:w="113" w:type="dxa"/>
            <w:tcBorders/>
            <w:shd w:fill="FFFFFF" w:val="clear"/>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Other expenses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(69,110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(40,192</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(26,814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(27,798</w:t>
            </w:r>
          </w:p>
        </w:tc>
        <w:tc>
          <w:tcPr>
            <w:tcW w:w="113" w:type="dxa"/>
            <w:tcBorders/>
            <w:shd w:fill="FFFFFF" w:val="clear"/>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Share of (loss)/profit of a joint venture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BEFORE TAX</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b/>
              </w:rPr>
            </w:pPr>
            <w:r>
              <w:rPr>
                <w:b/>
              </w:rPr>
              <w:t>(803,373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(585,312</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(5,512</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(590,824</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b/>
              </w:rPr>
            </w:pPr>
            <w:r>
              <w:rPr>
                <w:b/>
              </w:rPr>
              <w:t>(816,694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(590,768</w:t>
            </w:r>
          </w:p>
        </w:tc>
        <w:tc>
          <w:tcPr>
            <w:tcW w:w="113" w:type="dxa"/>
            <w:tcBorders/>
            <w:shd w:fill="FFFFFF" w:val="clear"/>
            <w:vAlign w:val="center"/>
          </w:tcPr>
          <w:p>
            <w:pPr>
              <w:pStyle w:val="TableContents"/>
              <w:bidi w:val="0"/>
              <w:spacing w:before="0" w:after="283"/>
              <w:jc w:val="left"/>
              <w:rPr/>
            </w:pPr>
            <w:r>
              <w:rPr/>
              <w:t>)</w:t>
            </w:r>
          </w:p>
        </w:tc>
      </w:tr>
      <w:tr>
        <w:trPr/>
        <w:tc>
          <w:tcPr>
            <w:tcW w:w="6894"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(590,824</w:t>
            </w:r>
          </w:p>
        </w:tc>
        <w:tc>
          <w:tcPr>
            <w:tcW w:w="113" w:type="dxa"/>
            <w:tcBorders/>
            <w:shd w:fill="CCEEFF" w:val="clear"/>
            <w:vAlign w:val="center"/>
          </w:tcPr>
          <w:p>
            <w:pPr>
              <w:pStyle w:val="TableContents"/>
              <w:bidi w:val="0"/>
              <w:spacing w:before="0" w:after="283"/>
              <w:jc w:val="left"/>
              <w:rPr/>
            </w:pPr>
            <w:r>
              <w:rPr/>
              <w:t>)</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left"/>
              <w:rPr/>
            </w:pPr>
            <w:r>
              <w:rPr/>
              <w:t> </w:t>
            </w:r>
          </w:p>
        </w:tc>
      </w:tr>
      <w:tr>
        <w:trPr/>
        <w:tc>
          <w:tcPr>
            <w:tcW w:w="6894" w:type="dxa"/>
            <w:tcBorders/>
            <w:shd w:fill="CCEEFF" w:val="clear"/>
            <w:vAlign w:val="center"/>
          </w:tcPr>
          <w:p>
            <w:pPr>
              <w:pStyle w:val="TableContents"/>
              <w:bidi w:val="0"/>
              <w:spacing w:before="0" w:after="283"/>
              <w:jc w:val="left"/>
              <w:rPr/>
            </w:pPr>
            <w:r>
              <w:rPr/>
              <w:t>LOSS PER SHARE ATTRIBUTABLE TO ORDINARY EQUITY HOLDERS OF THE COMPANY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894"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(1.73</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f_009"/>
      <w:bookmarkEnd w:id="12"/>
      <w:r>
        <w:rPr>
          <w:rFonts w:ascii="Times New Roman;Times;Serif" w:hAnsi="Times New Roman;Times;Serif"/>
          <w:b/>
          <w:i w:val="false"/>
          <w:caps w:val="false"/>
          <w:smallCaps w:val="false"/>
          <w:sz w:val="20"/>
        </w:rPr>
        <w:t>Interim Condensed Consolidated Statement of Comprehensive Income or Loss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9"/>
        <w:gridCol w:w="60"/>
        <w:gridCol w:w="78"/>
        <w:gridCol w:w="1157"/>
        <w:gridCol w:w="95"/>
        <w:gridCol w:w="60"/>
        <w:gridCol w:w="72"/>
        <w:gridCol w:w="1073"/>
        <w:gridCol w:w="111"/>
      </w:tblGrid>
      <w:tr>
        <w:trPr/>
        <w:tc>
          <w:tcPr>
            <w:tcW w:w="749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1" w:type="dxa"/>
            <w:tcBorders/>
            <w:vAlign w:val="center"/>
          </w:tcPr>
          <w:p>
            <w:pPr>
              <w:pStyle w:val="TableContents"/>
              <w:bidi w:val="0"/>
              <w:spacing w:before="0" w:after="283"/>
              <w:ind w:left="0" w:right="0" w:hanging="180"/>
              <w:jc w:val="left"/>
              <w:rPr/>
            </w:pPr>
            <w:r>
              <w:rPr/>
              <w:t> </w:t>
            </w:r>
          </w:p>
        </w:tc>
      </w:tr>
      <w:tr>
        <w:trPr/>
        <w:tc>
          <w:tcPr>
            <w:tcW w:w="7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(Unaudited)</w:t>
            </w:r>
          </w:p>
        </w:tc>
        <w:tc>
          <w:tcPr>
            <w:tcW w:w="111" w:type="dxa"/>
            <w:tcBorders/>
            <w:vAlign w:val="center"/>
          </w:tcPr>
          <w:p>
            <w:pPr>
              <w:pStyle w:val="TableContents"/>
              <w:bidi w:val="0"/>
              <w:spacing w:before="0" w:after="283"/>
              <w:ind w:left="0" w:right="0" w:hanging="180"/>
              <w:jc w:val="left"/>
              <w:rPr/>
            </w:pPr>
            <w:r>
              <w:rPr/>
              <w:t> </w:t>
            </w:r>
          </w:p>
        </w:tc>
      </w:tr>
      <w:tr>
        <w:trPr/>
        <w:tc>
          <w:tcPr>
            <w:tcW w:w="7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RMB’000</w:t>
            </w:r>
          </w:p>
        </w:tc>
        <w:tc>
          <w:tcPr>
            <w:tcW w:w="111" w:type="dxa"/>
            <w:tcBorders/>
            <w:vAlign w:val="center"/>
          </w:tcPr>
          <w:p>
            <w:pPr>
              <w:pStyle w:val="TableContents"/>
              <w:bidi w:val="0"/>
              <w:spacing w:before="0" w:after="283"/>
              <w:ind w:left="0" w:right="0" w:hanging="180"/>
              <w:jc w:val="left"/>
              <w:rPr/>
            </w:pPr>
            <w:r>
              <w:rPr/>
              <w:t> </w:t>
            </w:r>
          </w:p>
        </w:tc>
      </w:tr>
      <w:tr>
        <w:trPr/>
        <w:tc>
          <w:tcPr>
            <w:tcW w:w="7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(590,824</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income that may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Exchange differences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b/>
              </w:rPr>
            </w:pPr>
            <w:r>
              <w:rPr>
                <w:b/>
              </w:rPr>
              <w:t>29,078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1,095</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loss that will not be reclassified to profit or loss in subsequent periods: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Exchange differences on translation of the Company</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(57,207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(2,035</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OTHER COMPREHENSIVE LOSS FOR THE PERIOD, NET OF TAX</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(28,129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(940</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TOTAL COMPREHENSIVE LOSS FOR THE PERIOD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(845,127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(591,764</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Attributable to:</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7499"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b/>
              </w:rPr>
            </w:pPr>
            <w:r>
              <w:rPr>
                <w:b/>
              </w:rPr>
              <w:t>(844,823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(591,708</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7499"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(56</w:t>
            </w:r>
          </w:p>
        </w:tc>
        <w:tc>
          <w:tcPr>
            <w:tcW w:w="111" w:type="dxa"/>
            <w:tcBorders/>
            <w:shd w:fill="CCEEFF" w:val="clear"/>
            <w:vAlign w:val="center"/>
          </w:tcPr>
          <w:p>
            <w:pPr>
              <w:pStyle w:val="TableContents"/>
              <w:bidi w:val="0"/>
              <w:spacing w:before="0" w:after="283"/>
              <w:ind w:left="0" w:right="0" w:hanging="180"/>
              <w:jc w:val="left"/>
              <w:rPr/>
            </w:pPr>
            <w:r>
              <w:rPr/>
              <w:t>)</w:t>
            </w:r>
          </w:p>
        </w:tc>
      </w:tr>
      <w:tr>
        <w:trPr/>
        <w:tc>
          <w:tcPr>
            <w:tcW w:w="7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74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(845,127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3" w:type="dxa"/>
            <w:tcBorders>
              <w:bottom w:val="single" w:sz="12" w:space="0" w:color="000000"/>
            </w:tcBorders>
            <w:shd w:fill="CCEEFF" w:val="clear"/>
            <w:tcMar>
              <w:bottom w:w="28" w:type="dxa"/>
            </w:tcMar>
            <w:vAlign w:val="center"/>
          </w:tcPr>
          <w:p>
            <w:pPr>
              <w:pStyle w:val="TableContents"/>
              <w:bidi w:val="0"/>
              <w:spacing w:before="0" w:after="283"/>
              <w:jc w:val="right"/>
              <w:rPr/>
            </w:pPr>
            <w:r>
              <w:rPr/>
              <w:t>(591,764</w:t>
            </w:r>
          </w:p>
        </w:tc>
        <w:tc>
          <w:tcPr>
            <w:tcW w:w="11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f_010"/>
      <w:bookmarkEnd w:id="13"/>
      <w:r>
        <w:rPr>
          <w:rFonts w:ascii="Times New Roman;Times;Serif" w:hAnsi="Times New Roman;Times;Serif"/>
          <w:b/>
          <w:i w:val="false"/>
          <w:caps w:val="false"/>
          <w:smallCaps w:val="false"/>
          <w:sz w:val="20"/>
        </w:rPr>
        <w:t>Interim Condensed Consolidated Statement of Financial Position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tbl>
      <w:tblPr>
        <w:tblW w:w="9319" w:type="dxa"/>
        <w:jc w:val="left"/>
        <w:tblInd w:w="0" w:type="dxa"/>
        <w:tblLayout w:type="fixed"/>
        <w:tblCellMar>
          <w:top w:w="0" w:type="dxa"/>
          <w:left w:w="0" w:type="dxa"/>
          <w:bottom w:w="0" w:type="dxa"/>
          <w:right w:w="0" w:type="dxa"/>
        </w:tblCellMar>
      </w:tblPr>
      <w:tblGrid>
        <w:gridCol w:w="5885"/>
        <w:gridCol w:w="60"/>
        <w:gridCol w:w="575"/>
        <w:gridCol w:w="60"/>
        <w:gridCol w:w="71"/>
        <w:gridCol w:w="1178"/>
        <w:gridCol w:w="60"/>
        <w:gridCol w:w="60"/>
        <w:gridCol w:w="74"/>
        <w:gridCol w:w="1221"/>
        <w:gridCol w:w="75"/>
      </w:tblGrid>
      <w:tr>
        <w:trPr/>
        <w:tc>
          <w:tcPr>
            <w:tcW w:w="588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vAlign w:val="center"/>
          </w:tcPr>
          <w:p>
            <w:pPr>
              <w:pStyle w:val="TableContents"/>
              <w:bidi w:val="0"/>
              <w:spacing w:before="0" w:after="283"/>
              <w:jc w:val="left"/>
              <w:rPr/>
            </w:pPr>
            <w:r>
              <w:rPr/>
              <w:t>NON-CURRENT ASSETS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751,518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781,235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48,915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47,827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24,694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24,694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Other intangible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37,566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65,936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Investment in a joint venture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33,009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33,030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Financial assets at fair value through profit or loss (“FVTPL”)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4,000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18,375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31,957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30,725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947,438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1,019,404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64,300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28,618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156,396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252,938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Prepayments, other receivables and other assets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176,985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192,532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Cash and bank balances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1,895,583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2,470,085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2,293,264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2,944,173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106,912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106,740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231,932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1" w:type="dxa"/>
            <w:tcBorders/>
            <w:shd w:fill="FFFFFF" w:val="clear"/>
            <w:vAlign w:val="center"/>
          </w:tcPr>
          <w:p>
            <w:pPr>
              <w:pStyle w:val="TableContents"/>
              <w:bidi w:val="0"/>
              <w:spacing w:before="0" w:after="283"/>
              <w:jc w:val="right"/>
              <w:rPr/>
            </w:pPr>
            <w:r>
              <w:rPr/>
              <w:t>276,666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69,539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37,485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Interest-bearing bank and other borrowings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1,475,122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1,222,481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1,883,505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1,643,372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NET CURRENT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409,759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1,300,801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8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885" w:type="dxa"/>
            <w:tcBorders/>
            <w:shd w:fill="FFFFFF" w:val="clear"/>
            <w:vAlign w:val="center"/>
          </w:tcPr>
          <w:p>
            <w:pPr>
              <w:pStyle w:val="TableContents"/>
              <w:bidi w:val="0"/>
              <w:spacing w:before="0" w:after="283"/>
              <w:jc w:val="left"/>
              <w:rPr/>
            </w:pPr>
            <w:r>
              <w:rPr/>
              <w:t>TOTAL ASSETS LESS 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1,357,197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1" w:type="dxa"/>
            <w:tcBorders>
              <w:bottom w:val="single" w:sz="12" w:space="0" w:color="000000"/>
            </w:tcBorders>
            <w:shd w:fill="FFFFFF" w:val="clear"/>
            <w:tcMar>
              <w:bottom w:w="28" w:type="dxa"/>
            </w:tcMar>
            <w:vAlign w:val="center"/>
          </w:tcPr>
          <w:p>
            <w:pPr>
              <w:pStyle w:val="TableContents"/>
              <w:bidi w:val="0"/>
              <w:spacing w:before="0" w:after="283"/>
              <w:jc w:val="right"/>
              <w:rPr/>
            </w:pPr>
            <w:r>
              <w:rPr/>
              <w:t>2,320,205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18" w:type="dxa"/>
        <w:jc w:val="left"/>
        <w:tblInd w:w="0" w:type="dxa"/>
        <w:tblLayout w:type="fixed"/>
        <w:tblCellMar>
          <w:top w:w="0" w:type="dxa"/>
          <w:left w:w="0" w:type="dxa"/>
          <w:bottom w:w="0" w:type="dxa"/>
          <w:right w:w="0" w:type="dxa"/>
        </w:tblCellMar>
      </w:tblPr>
      <w:tblGrid>
        <w:gridCol w:w="4115"/>
        <w:gridCol w:w="60"/>
        <w:gridCol w:w="575"/>
        <w:gridCol w:w="60"/>
        <w:gridCol w:w="86"/>
        <w:gridCol w:w="1163"/>
        <w:gridCol w:w="95"/>
        <w:gridCol w:w="60"/>
        <w:gridCol w:w="74"/>
        <w:gridCol w:w="1220"/>
        <w:gridCol w:w="110"/>
      </w:tblGrid>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31 December</w:t>
            </w:r>
          </w:p>
        </w:tc>
        <w:tc>
          <w:tcPr>
            <w:tcW w:w="110"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bottom w:val="single" w:sz="12" w:space="0" w:color="000000"/>
            </w:tcBorders>
            <w:tcMar>
              <w:bottom w:w="28" w:type="dxa"/>
            </w:tcMar>
            <w:vAlign w:val="center"/>
          </w:tcPr>
          <w:p>
            <w:pPr>
              <w:pStyle w:val="TableContents"/>
              <w:bidi w:val="0"/>
              <w:spacing w:before="0" w:after="283"/>
              <w:jc w:val="center"/>
              <w:rPr/>
            </w:pPr>
            <w:r>
              <w:rPr/>
              <w:t>Notes</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(Audited)</w:t>
            </w:r>
          </w:p>
        </w:tc>
        <w:tc>
          <w:tcPr>
            <w:tcW w:w="110"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RMB’000</w:t>
            </w:r>
          </w:p>
        </w:tc>
        <w:tc>
          <w:tcPr>
            <w:tcW w:w="110" w:type="dxa"/>
            <w:tcBorders/>
            <w:vAlign w:val="center"/>
          </w:tcPr>
          <w:p>
            <w:pPr>
              <w:pStyle w:val="TableContents"/>
              <w:bidi w:val="0"/>
              <w:spacing w:before="0" w:after="283"/>
              <w:jc w:val="center"/>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158,453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210,224</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Interest-bearing bank and other borrowings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619,449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757,238</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Deferred income</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6,300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6,500</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12,031</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791,364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985,993</w:t>
            </w:r>
          </w:p>
        </w:tc>
        <w:tc>
          <w:tcPr>
            <w:tcW w:w="11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Net assets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565,833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1,334,212</w:t>
            </w:r>
          </w:p>
        </w:tc>
        <w:tc>
          <w:tcPr>
            <w:tcW w:w="11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EQUITY</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Equity attributable to owners of the parent</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1"/>
              <w:jc w:val="left"/>
              <w:rPr/>
            </w:pPr>
            <w:r>
              <w:rPr/>
              <w:t> </w:t>
            </w:r>
          </w:p>
        </w:tc>
      </w:tr>
      <w:tr>
        <w:trPr/>
        <w:tc>
          <w:tcPr>
            <w:tcW w:w="4115"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256</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Treasury shares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(16,362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(2,961</w:t>
            </w:r>
          </w:p>
        </w:tc>
        <w:tc>
          <w:tcPr>
            <w:tcW w:w="110" w:type="dxa"/>
            <w:tcBorders/>
            <w:shd w:fill="CCEEFF" w:val="clear"/>
            <w:vAlign w:val="center"/>
          </w:tcPr>
          <w:p>
            <w:pPr>
              <w:pStyle w:val="TableContents"/>
              <w:bidi w:val="0"/>
              <w:spacing w:before="0" w:after="283"/>
              <w:ind w:left="0" w:right="0" w:hanging="181"/>
              <w:jc w:val="left"/>
              <w:rPr/>
            </w:pPr>
            <w:r>
              <w:rPr/>
              <w:t>)</w:t>
            </w:r>
          </w:p>
        </w:tc>
      </w:tr>
      <w:tr>
        <w:trPr/>
        <w:tc>
          <w:tcPr>
            <w:tcW w:w="4115"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572,493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1,327,167</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556,387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1,324,462</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9,750</w:t>
            </w:r>
          </w:p>
        </w:tc>
        <w:tc>
          <w:tcPr>
            <w:tcW w:w="11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1"/>
              <w:jc w:val="left"/>
              <w:rPr/>
            </w:pPr>
            <w:r>
              <w:rPr/>
              <w:t> </w:t>
            </w:r>
          </w:p>
        </w:tc>
      </w:tr>
      <w:tr>
        <w:trPr/>
        <w:tc>
          <w:tcPr>
            <w:tcW w:w="4115"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565,833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1,334,212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f_011"/>
      <w:bookmarkEnd w:id="14"/>
      <w:r>
        <w:rPr>
          <w:rFonts w:ascii="Times New Roman;Times;Serif" w:hAnsi="Times New Roman;Times;Serif"/>
          <w:b/>
          <w:i w:val="false"/>
          <w:caps w:val="false"/>
          <w:smallCaps w:val="false"/>
          <w:sz w:val="20"/>
        </w:rPr>
        <w:t>Interim Condensed Consolidated Statement of Changes in Equity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1390" w:type="dxa"/>
        <w:jc w:val="left"/>
        <w:tblInd w:w="0" w:type="dxa"/>
        <w:tblLayout w:type="fixed"/>
        <w:tblCellMar>
          <w:top w:w="0" w:type="dxa"/>
          <w:left w:w="0" w:type="dxa"/>
          <w:bottom w:w="0" w:type="dxa"/>
          <w:right w:w="0" w:type="dxa"/>
        </w:tblCellMar>
      </w:tblPr>
      <w:tblGrid>
        <w:gridCol w:w="1520"/>
        <w:gridCol w:w="60"/>
        <w:gridCol w:w="90"/>
        <w:gridCol w:w="575"/>
        <w:gridCol w:w="60"/>
        <w:gridCol w:w="60"/>
        <w:gridCol w:w="60"/>
        <w:gridCol w:w="755"/>
        <w:gridCol w:w="95"/>
        <w:gridCol w:w="60"/>
        <w:gridCol w:w="60"/>
        <w:gridCol w:w="980"/>
        <w:gridCol w:w="60"/>
        <w:gridCol w:w="60"/>
        <w:gridCol w:w="60"/>
        <w:gridCol w:w="875"/>
        <w:gridCol w:w="95"/>
        <w:gridCol w:w="60"/>
        <w:gridCol w:w="60"/>
        <w:gridCol w:w="875"/>
        <w:gridCol w:w="95"/>
        <w:gridCol w:w="60"/>
        <w:gridCol w:w="60"/>
        <w:gridCol w:w="1070"/>
        <w:gridCol w:w="95"/>
        <w:gridCol w:w="60"/>
        <w:gridCol w:w="60"/>
        <w:gridCol w:w="980"/>
        <w:gridCol w:w="95"/>
        <w:gridCol w:w="60"/>
        <w:gridCol w:w="93"/>
        <w:gridCol w:w="872"/>
        <w:gridCol w:w="95"/>
        <w:gridCol w:w="60"/>
        <w:gridCol w:w="60"/>
        <w:gridCol w:w="980"/>
        <w:gridCol w:w="75"/>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2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Attributable to owners of the parent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8115" w:type="dxa"/>
            <w:gridSpan w:val="28"/>
            <w:tcBorders/>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Treasury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fluctuation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controlling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RMB’000</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At December 31, 2025 (audited)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b/>
              </w:rPr>
            </w:pPr>
            <w:r>
              <w:rPr>
                <w:b/>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(2,961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8,916,853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(397,276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(179,086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b/>
              </w:rPr>
            </w:pPr>
            <w:r>
              <w:rPr>
                <w:b/>
              </w:rPr>
              <w:t>(7,013,324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1,324,462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b/>
              </w:rPr>
            </w:pPr>
            <w:r>
              <w:rPr>
                <w:b/>
              </w:rPr>
              <w:t>9,750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1,334,212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(816,694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(816,694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b/>
              </w:rPr>
            </w:pPr>
            <w:r>
              <w:rPr>
                <w:b/>
              </w:rPr>
              <w:t>(304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(816,998</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20" w:type="dxa"/>
            <w:tcBorders/>
            <w:shd w:fill="CCEEFF" w:val="clear"/>
            <w:vAlign w:val="center"/>
          </w:tcPr>
          <w:p>
            <w:pPr>
              <w:pStyle w:val="TableContents"/>
              <w:bidi w:val="0"/>
              <w:spacing w:before="0" w:after="283"/>
              <w:jc w:val="left"/>
              <w:rPr/>
            </w:pPr>
            <w:r>
              <w:rPr/>
              <w:t>Other comprehensive loss for the period: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Exchange differences on translation of </w:t>
              <w:br/>
              <w:t>operations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(28,129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(28,129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(28,129</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(28,129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b/>
              </w:rPr>
            </w:pPr>
            <w:r>
              <w:rPr>
                <w:b/>
              </w:rPr>
              <w:t>(816,694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(844,823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b/>
              </w:rPr>
            </w:pPr>
            <w:r>
              <w:rPr>
                <w:b/>
              </w:rPr>
              <w:t>(304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(845,127</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Repurchase of ordinary shares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(13,950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(13,950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(13,950</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1520" w:type="dxa"/>
            <w:tcBorders/>
            <w:shd w:fill="CCEEFF" w:val="clear"/>
            <w:vAlign w:val="center"/>
          </w:tcPr>
          <w:p>
            <w:pPr>
              <w:pStyle w:val="TableContents"/>
              <w:bidi w:val="0"/>
              <w:spacing w:before="0" w:after="283"/>
              <w:jc w:val="left"/>
              <w:rPr/>
            </w:pPr>
            <w:r>
              <w:rPr/>
              <w:t>Equity-settled share-based payments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 </w:t>
            </w:r>
            <w:r>
              <w:rPr/>
              <w:t>Post-IPO share option expenses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8,547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 </w:t>
            </w:r>
            <w:r>
              <w:rPr/>
              <w:t>Restricted share unit (“RSU”) expenses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22,701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 </w:t>
            </w:r>
            <w:r>
              <w:rPr/>
              <w:t>Exercise of pre-IPO share options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(439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 </w:t>
            </w:r>
            <w:r>
              <w:rPr/>
              <w:t>Vesting of RSUs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9,408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(9,957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 </w:t>
            </w:r>
            <w:r>
              <w:rPr/>
              <w:t>Equity-settled bonus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59,450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At 30 June 2026 (unaudited)</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(16,362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8,926,700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(316,974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(207,215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(7,830,018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556,387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565,833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510" w:type="dxa"/>
        <w:jc w:val="left"/>
        <w:tblInd w:w="0" w:type="dxa"/>
        <w:tblLayout w:type="fixed"/>
        <w:tblCellMar>
          <w:top w:w="0" w:type="dxa"/>
          <w:left w:w="0" w:type="dxa"/>
          <w:bottom w:w="0" w:type="dxa"/>
          <w:right w:w="0" w:type="dxa"/>
        </w:tblCellMar>
      </w:tblPr>
      <w:tblGrid>
        <w:gridCol w:w="1520"/>
        <w:gridCol w:w="60"/>
        <w:gridCol w:w="86"/>
        <w:gridCol w:w="549"/>
        <w:gridCol w:w="60"/>
        <w:gridCol w:w="60"/>
        <w:gridCol w:w="74"/>
        <w:gridCol w:w="786"/>
        <w:gridCol w:w="95"/>
        <w:gridCol w:w="60"/>
        <w:gridCol w:w="60"/>
        <w:gridCol w:w="980"/>
        <w:gridCol w:w="60"/>
        <w:gridCol w:w="60"/>
        <w:gridCol w:w="60"/>
        <w:gridCol w:w="875"/>
        <w:gridCol w:w="95"/>
        <w:gridCol w:w="60"/>
        <w:gridCol w:w="65"/>
        <w:gridCol w:w="960"/>
        <w:gridCol w:w="95"/>
        <w:gridCol w:w="60"/>
        <w:gridCol w:w="68"/>
        <w:gridCol w:w="1212"/>
        <w:gridCol w:w="95"/>
        <w:gridCol w:w="60"/>
        <w:gridCol w:w="60"/>
        <w:gridCol w:w="875"/>
        <w:gridCol w:w="95"/>
        <w:gridCol w:w="60"/>
        <w:gridCol w:w="100"/>
        <w:gridCol w:w="940"/>
        <w:gridCol w:w="95"/>
        <w:gridCol w:w="60"/>
        <w:gridCol w:w="60"/>
        <w:gridCol w:w="875"/>
        <w:gridCol w:w="75"/>
      </w:tblGrid>
      <w:tr>
        <w:trPr/>
        <w:tc>
          <w:tcPr>
            <w:tcW w:w="152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7570" w:type="dxa"/>
            <w:gridSpan w:val="26"/>
            <w:tcBorders>
              <w:bottom w:val="single" w:sz="12" w:space="0" w:color="000000"/>
            </w:tcBorders>
            <w:tcMar>
              <w:bottom w:w="28" w:type="dxa"/>
            </w:tcMar>
            <w:vAlign w:val="center"/>
          </w:tcPr>
          <w:p>
            <w:pPr>
              <w:pStyle w:val="TableContents"/>
              <w:bidi w:val="0"/>
              <w:spacing w:before="0" w:after="283"/>
              <w:jc w:val="center"/>
              <w:rPr/>
            </w:pPr>
            <w:r>
              <w:rPr/>
              <w:t>Attributable to owners of the parent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70" w:type="dxa"/>
            <w:gridSpan w:val="2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Share </w:t>
              <w:br/>
              <w:t>capital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Treasury </w:t>
              <w:b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Share </w:t>
              <w:br/>
              <w:t>premium</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Capital </w:t>
              <w:br/>
              <w:t xml:space="preserve">and </w:t>
              <w:br/>
              <w:t>reserves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Exchange </w:t>
              <w:br/>
              <w:t xml:space="preserve">fluctuation </w:t>
              <w:br/>
              <w:t>reserve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Accumulated </w:t>
              <w:br/>
              <w:t>losses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Non- </w:t>
              <w:br/>
              <w:t xml:space="preserve">controlling </w:t>
              <w:br/>
              <w:t>interests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Total </w:t>
              <w:br/>
              <w:t>equity</w:t>
            </w:r>
          </w:p>
        </w:tc>
        <w:tc>
          <w:tcPr>
            <w:tcW w:w="75" w:type="dxa"/>
            <w:tcBorders/>
            <w:vAlign w:val="center"/>
          </w:tcPr>
          <w:p>
            <w:pPr>
              <w:pStyle w:val="TableContents"/>
              <w:bidi w:val="0"/>
              <w:spacing w:before="0" w:after="283"/>
              <w:ind w:left="0" w:right="0" w:hanging="180"/>
              <w:jc w:val="center"/>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5"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5"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ind w:left="0" w:right="0" w:hanging="180"/>
              <w:jc w:val="center"/>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At December 31, 2024 (audited)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6,545,129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(384,515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(126,071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(5,770,555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274,162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(590,768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(590,768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(590,824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Other comprehensive loss for the period: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Exchange differences on translation of operations</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(940</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(940</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(940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Total comprehensive loss for the period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(940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(590,768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(591,708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(591,764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Issue of ordinary shares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925,153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925,178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925,178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Repurchase of ordinary shares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(3,588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(3,588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20" w:type="dxa"/>
            <w:tcBorders/>
            <w:shd w:fill="FFFFFF" w:val="clear"/>
            <w:vAlign w:val="center"/>
          </w:tcPr>
          <w:p>
            <w:pPr>
              <w:pStyle w:val="TableContents"/>
              <w:bidi w:val="0"/>
              <w:spacing w:before="0" w:after="283"/>
              <w:jc w:val="left"/>
              <w:rPr/>
            </w:pPr>
            <w:r>
              <w:rPr/>
              <w:t>Equity-settled share-based payments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 </w:t>
            </w:r>
            <w:r>
              <w:rPr/>
              <w:t>RSU expenses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13,048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 </w:t>
            </w:r>
            <w:r>
              <w:rPr/>
              <w:t>Exercise of pre-IPO share options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xml:space="preserve">– </w:t>
            </w:r>
            <w:r>
              <w:rPr/>
              <w:t>Vesting of RSUs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636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 xml:space="preserve">– </w:t>
            </w:r>
            <w:r>
              <w:rPr/>
              <w:t>Equity-settled bonus</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58,869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58,869</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58,869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8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20" w:type="dxa"/>
            <w:tcBorders/>
            <w:shd w:fill="FFFFFF" w:val="clear"/>
            <w:vAlign w:val="center"/>
          </w:tcPr>
          <w:p>
            <w:pPr>
              <w:pStyle w:val="TableContents"/>
              <w:bidi w:val="0"/>
              <w:spacing w:before="0" w:after="283"/>
              <w:jc w:val="left"/>
              <w:rPr/>
            </w:pPr>
            <w:r>
              <w:rPr/>
              <w:t>At 30 June 2025 (unaudited)</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49" w:type="dxa"/>
            <w:tcBorders>
              <w:bottom w:val="single" w:sz="12" w:space="0" w:color="000000"/>
            </w:tcBorders>
            <w:shd w:fill="FFFFFF" w:val="clear"/>
            <w:tcMar>
              <w:bottom w:w="28" w:type="dxa"/>
            </w:tcMar>
            <w:vAlign w:val="center"/>
          </w:tcPr>
          <w:p>
            <w:pPr>
              <w:pStyle w:val="TableContents"/>
              <w:bidi w:val="0"/>
              <w:spacing w:before="0" w:after="283"/>
              <w:jc w:val="right"/>
              <w:rPr/>
            </w:pPr>
            <w:r>
              <w:rPr/>
              <w:t>239</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6" w:type="dxa"/>
            <w:tcBorders>
              <w:bottom w:val="single" w:sz="12" w:space="0" w:color="000000"/>
            </w:tcBorders>
            <w:shd w:fill="FFFFFF" w:val="clear"/>
            <w:tcMar>
              <w:bottom w:w="28" w:type="dxa"/>
            </w:tcMar>
            <w:vAlign w:val="center"/>
          </w:tcPr>
          <w:p>
            <w:pPr>
              <w:pStyle w:val="TableContents"/>
              <w:bidi w:val="0"/>
              <w:spacing w:before="0" w:after="283"/>
              <w:jc w:val="right"/>
              <w:rPr/>
            </w:pPr>
            <w:r>
              <w:rPr/>
              <w:t>(2,960</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7,546,108</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(389,056</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0" w:type="dxa"/>
            <w:tcBorders>
              <w:bottom w:val="single" w:sz="12" w:space="0" w:color="000000"/>
            </w:tcBorders>
            <w:shd w:fill="FFFFFF" w:val="clear"/>
            <w:tcMar>
              <w:bottom w:w="28" w:type="dxa"/>
            </w:tcMar>
            <w:vAlign w:val="center"/>
          </w:tcPr>
          <w:p>
            <w:pPr>
              <w:pStyle w:val="TableContents"/>
              <w:bidi w:val="0"/>
              <w:spacing w:before="0" w:after="283"/>
              <w:jc w:val="right"/>
              <w:rPr/>
            </w:pPr>
            <w:r>
              <w:rPr/>
              <w:t>(127,011</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(6,361,323</w:t>
            </w:r>
          </w:p>
        </w:tc>
        <w:tc>
          <w:tcPr>
            <w:tcW w:w="95" w:type="dxa"/>
            <w:tcBorders/>
            <w:shd w:fill="FFFFFF" w:val="clear"/>
            <w:vAlign w:val="center"/>
          </w:tcPr>
          <w:p>
            <w:pPr>
              <w:pStyle w:val="TableContents"/>
              <w:bidi w:val="0"/>
              <w:spacing w:before="0" w:after="283"/>
              <w:jc w:val="left"/>
              <w:rPr/>
            </w:pPr>
            <w:r>
              <w:rPr/>
              <w:t>)</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665,997</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675,909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f_012"/>
      <w:bookmarkEnd w:id="15"/>
      <w:r>
        <w:rPr>
          <w:rFonts w:ascii="Times New Roman;Times;Serif" w:hAnsi="Times New Roman;Times;Serif"/>
          <w:b/>
          <w:i w:val="false"/>
          <w:caps w:val="false"/>
          <w:smallCaps w:val="false"/>
          <w:sz w:val="20"/>
        </w:rPr>
        <w:t>Interim Condensed Consolidated Statement of Cash Flows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1"/>
        <w:gridCol w:w="60"/>
        <w:gridCol w:w="70"/>
        <w:gridCol w:w="1170"/>
        <w:gridCol w:w="95"/>
        <w:gridCol w:w="60"/>
        <w:gridCol w:w="65"/>
        <w:gridCol w:w="1085"/>
        <w:gridCol w:w="109"/>
      </w:tblGrid>
      <w:tr>
        <w:trPr/>
        <w:tc>
          <w:tcPr>
            <w:tcW w:w="74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9" w:type="dxa"/>
            <w:tcBorders/>
            <w:vAlign w:val="center"/>
          </w:tcPr>
          <w:p>
            <w:pPr>
              <w:pStyle w:val="TableContents"/>
              <w:bidi w:val="0"/>
              <w:spacing w:before="0" w:after="283"/>
              <w:jc w:val="center"/>
              <w:rPr/>
            </w:pPr>
            <w:r>
              <w:rPr/>
              <w:t> </w:t>
            </w:r>
          </w:p>
        </w:tc>
      </w:tr>
      <w:tr>
        <w:trPr/>
        <w:tc>
          <w:tcPr>
            <w:tcW w:w="74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pPr>
            <w:r>
              <w:rPr/>
              <w:t>(Unaudited)</w:t>
            </w:r>
          </w:p>
        </w:tc>
        <w:tc>
          <w:tcPr>
            <w:tcW w:w="109" w:type="dxa"/>
            <w:tcBorders/>
            <w:vAlign w:val="center"/>
          </w:tcPr>
          <w:p>
            <w:pPr>
              <w:pStyle w:val="TableContents"/>
              <w:bidi w:val="0"/>
              <w:spacing w:before="0" w:after="283"/>
              <w:jc w:val="center"/>
              <w:rPr/>
            </w:pPr>
            <w:r>
              <w:rPr/>
              <w:t> </w:t>
            </w:r>
          </w:p>
        </w:tc>
      </w:tr>
      <w:tr>
        <w:trPr/>
        <w:tc>
          <w:tcPr>
            <w:tcW w:w="74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pPr>
            <w:r>
              <w:rPr/>
              <w:t>RMB’000</w:t>
            </w:r>
          </w:p>
        </w:tc>
        <w:tc>
          <w:tcPr>
            <w:tcW w:w="109" w:type="dxa"/>
            <w:tcBorders/>
            <w:vAlign w:val="center"/>
          </w:tcPr>
          <w:p>
            <w:pPr>
              <w:pStyle w:val="TableContents"/>
              <w:bidi w:val="0"/>
              <w:spacing w:before="0" w:after="283"/>
              <w:jc w:val="center"/>
              <w:rPr/>
            </w:pPr>
            <w:r>
              <w:rPr/>
              <w:t> </w:t>
            </w:r>
          </w:p>
        </w:tc>
      </w:tr>
      <w:tr>
        <w:trPr/>
        <w:tc>
          <w:tcPr>
            <w:tcW w:w="74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50" w:type="dxa"/>
            <w:gridSpan w:val="2"/>
            <w:tcBorders/>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ind w:left="0" w:right="0" w:hanging="180"/>
              <w:jc w:val="center"/>
              <w:rPr/>
            </w:pPr>
            <w:r>
              <w:rPr/>
              <w:t> </w:t>
            </w:r>
          </w:p>
        </w:tc>
      </w:tr>
      <w:tr>
        <w:trPr/>
        <w:tc>
          <w:tcPr>
            <w:tcW w:w="7491"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4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0"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Net cash flows used in operating activities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(581,233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(432,120</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(11,859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(20,037</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Payment of contingent consideration related to acquisition of a subsidiary</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(43,342</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(Placement)/maturity in time deposits with original maturity of more than three months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945,295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(597,141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Purchases of long-term investments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(40,000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Proceeds from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Purchase of an equity investment designated at FVTPL</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(4,000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Net cash flows generated from/(used in) investing activities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930,438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(704,520</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Proceeds from issue of shares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950,187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Treasury share purchases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(7,823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(9,203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Proceeds from exercise of share options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(26,052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(26,179</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Proceeds from bank loans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859,500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400,574</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Repayment of bank loans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(747,323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(350,262</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Principal portion of lease payments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(4,601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(3,949</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Listing expense paid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(10,423</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Net cash flows generated from financing activities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73,701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950,749</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422,906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(185,891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4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1,195,784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893,100</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Effect of foreign exchange rate changes, net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(51,540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(3,612</w:t>
            </w:r>
          </w:p>
        </w:tc>
        <w:tc>
          <w:tcPr>
            <w:tcW w:w="109" w:type="dxa"/>
            <w:tcBorders/>
            <w:shd w:fill="FFFFFF" w:val="clear"/>
            <w:vAlign w:val="center"/>
          </w:tcPr>
          <w:p>
            <w:pPr>
              <w:pStyle w:val="TableContents"/>
              <w:bidi w:val="0"/>
              <w:spacing w:before="0" w:after="283"/>
              <w:ind w:left="0" w:right="0" w:hanging="180"/>
              <w:jc w:val="left"/>
              <w:rPr/>
            </w:pPr>
            <w:r>
              <w:rPr/>
              <w:t>)</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1,567,150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703,597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ANALYSIS OF BALANCES OF CASH AND CASH EQUIVALENTS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1,567,150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pPr>
            <w:r>
              <w:rPr/>
              <w:t>703,597</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Restricted bank balances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5,112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27,238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Time deposits with original maturity of more than three months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323,321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930,619</w:t>
            </w:r>
          </w:p>
        </w:tc>
        <w:tc>
          <w:tcPr>
            <w:tcW w:w="109" w:type="dxa"/>
            <w:tcBorders/>
            <w:shd w:fill="FFFFFF" w:val="clear"/>
            <w:vAlign w:val="center"/>
          </w:tcPr>
          <w:p>
            <w:pPr>
              <w:pStyle w:val="TableContents"/>
              <w:bidi w:val="0"/>
              <w:spacing w:before="0" w:after="283"/>
              <w:ind w:left="0" w:right="0" w:hanging="180"/>
              <w:jc w:val="left"/>
              <w:rPr/>
            </w:pPr>
            <w:r>
              <w:rPr/>
              <w:t> </w:t>
            </w:r>
          </w:p>
        </w:tc>
      </w:tr>
      <w:tr>
        <w:trPr/>
        <w:tc>
          <w:tcPr>
            <w:tcW w:w="74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491" w:type="dxa"/>
            <w:tcBorders/>
            <w:shd w:fill="FFFFFF" w:val="clear"/>
            <w:vAlign w:val="center"/>
          </w:tcPr>
          <w:p>
            <w:pPr>
              <w:pStyle w:val="TableContents"/>
              <w:bidi w:val="0"/>
              <w:spacing w:before="0" w:after="283"/>
              <w:jc w:val="left"/>
              <w:rPr/>
            </w:pPr>
            <w:r>
              <w:rPr/>
              <w:t>Cash and bank balances at end of period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1,895,583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FFFFFF" w:val="clear"/>
            <w:tcMar>
              <w:bottom w:w="28" w:type="dxa"/>
            </w:tcMar>
            <w:vAlign w:val="center"/>
          </w:tcPr>
          <w:p>
            <w:pPr>
              <w:pStyle w:val="TableContents"/>
              <w:bidi w:val="0"/>
              <w:spacing w:before="0" w:after="283"/>
              <w:jc w:val="right"/>
              <w:rPr/>
            </w:pPr>
            <w:r>
              <w:rPr/>
              <w:t>1,661,454</w:t>
            </w:r>
          </w:p>
        </w:tc>
        <w:tc>
          <w:tcPr>
            <w:tcW w:w="109"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f_013"/>
      <w:bookmarkEnd w:id="16"/>
      <w:r>
        <w:rPr>
          <w:rFonts w:ascii="Times New Roman;Times;Serif" w:hAnsi="Times New Roman;Times;Serif"/>
          <w:b/>
          <w:i w:val="false"/>
          <w:caps w:val="false"/>
          <w:smallCaps w:val="false"/>
          <w:sz w:val="20"/>
        </w:rPr>
        <w:t>Notes to Interim Condensed Consolidated Financial Information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20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775" w:type="dxa"/>
            <w:tcBorders/>
            <w:vAlign w:val="center"/>
          </w:tcPr>
          <w:p>
            <w:pPr>
              <w:pStyle w:val="TableContents"/>
              <w:bidi w:val="0"/>
              <w:spacing w:before="0" w:after="283"/>
              <w:jc w:val="both"/>
              <w:rPr/>
            </w:pPr>
            <w:r>
              <w:rPr/>
              <w:t>CORPORATE AND GROUP INFORMATION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limited liability company incorporated in the Cayman Islands on 17 November 2017. The registered office of the Company is located at the office of Walkers Corporate Limited, with the registered address of 190 Elgin Avenue, George Town, Grand Cayman KY1-9008, Cayman Islands.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investment holding company. The Company became the holding company of the subsidiaries upon completion of the reorganization in July 2018. The Company is a global biopharmaceutical company engaged in discovering, developing and commercializing therapies to address global medical needs primarily in hematological malignancies.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2019, the Company completed its Hong Kong initial public offering with the Stock Exchange of Hong Kong Limited (the “Hong Kong Stock Exchange”). In January 2025, the Company completed its U.S. initial public offering with the NASDAQ.</w:t>
      </w:r>
    </w:p>
    <w:p>
      <w:pPr>
        <w:pStyle w:val="TextBody"/>
        <w:bidi w:val="0"/>
        <w:spacing w:before="0" w:after="0"/>
        <w:ind w:left="360" w:right="0" w:hanging="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20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2855" w:type="dxa"/>
            <w:tcBorders/>
            <w:vAlign w:val="center"/>
          </w:tcPr>
          <w:p>
            <w:pPr>
              <w:pStyle w:val="TableContents"/>
              <w:bidi w:val="0"/>
              <w:spacing w:before="0" w:after="283"/>
              <w:jc w:val="both"/>
              <w:rPr/>
            </w:pPr>
            <w:r>
              <w:rPr/>
              <w:t>BASIS OF PREPARATION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interim condensed consolidated financial information for the six months ended 30 June 2026 has been prepared in accordance with IAS 34 </w:t>
      </w:r>
      <w:r>
        <w:rPr>
          <w:rFonts w:ascii="Times New Roman;Times;Serif" w:hAnsi="Times New Roman;Times;Serif"/>
          <w:b w:val="false"/>
          <w:i/>
          <w:caps w:val="false"/>
          <w:smallCaps w:val="false"/>
          <w:sz w:val="20"/>
        </w:rPr>
        <w:t>Interim Financial Reporting</w:t>
      </w:r>
      <w:r>
        <w:rPr>
          <w:rFonts w:ascii="Times New Roman;Times;Serif" w:hAnsi="Times New Roman;Times;Serif"/>
          <w:b w:val="false"/>
          <w:i w:val="false"/>
          <w:caps w:val="false"/>
          <w:smallCaps w:val="false"/>
          <w:sz w:val="20"/>
        </w:rPr>
        <w:t>. The unaudited interim condensed consolidated financial information does not include all the information and disclosures required in the annual financial statements, and should be read in conjunction with the Group’s annual consolidated financial statements for the year ended 31 December 2025.</w:t>
      </w:r>
    </w:p>
    <w:p>
      <w:pPr>
        <w:pStyle w:val="TextBody"/>
        <w:bidi w:val="0"/>
        <w:spacing w:before="0" w:after="0"/>
        <w:ind w:left="360" w:right="0" w:hanging="0"/>
        <w:jc w:val="both"/>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20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340" w:type="dxa"/>
            <w:tcBorders/>
            <w:vAlign w:val="center"/>
          </w:tcPr>
          <w:p>
            <w:pPr>
              <w:pStyle w:val="TableContents"/>
              <w:bidi w:val="0"/>
              <w:spacing w:before="0" w:after="283"/>
              <w:jc w:val="both"/>
              <w:rPr/>
            </w:pPr>
            <w:r>
              <w:rPr/>
              <w:t>CHANGES IN ACCOUNTING POLICIES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in the preparation of the unaudited interim condensed consolidated financial statements are consistent with those applied in the preparation of the Group’s annual consolidated financial statements for the year ended 31 December 2025, except for the adoption of the following amended IFRS Accounting Standards for the first time for the current period’s financial information.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4"/>
        <w:gridCol w:w="6921"/>
      </w:tblGrid>
      <w:tr>
        <w:trPr/>
        <w:tc>
          <w:tcPr>
            <w:tcW w:w="3284" w:type="dxa"/>
            <w:tcBorders/>
            <w:vAlign w:val="center"/>
          </w:tcPr>
          <w:p>
            <w:pPr>
              <w:pStyle w:val="TableContents"/>
              <w:bidi w:val="0"/>
              <w:spacing w:before="0" w:after="283"/>
              <w:ind w:left="0" w:right="0" w:hanging="181"/>
              <w:jc w:val="left"/>
              <w:rPr/>
            </w:pPr>
            <w:r>
              <w:rPr/>
              <w:t>Amendments to IFRS 9 and IFRS 7</w:t>
            </w:r>
          </w:p>
        </w:tc>
        <w:tc>
          <w:tcPr>
            <w:tcW w:w="6921" w:type="dxa"/>
            <w:tcBorders/>
            <w:vAlign w:val="center"/>
          </w:tcPr>
          <w:p>
            <w:pPr>
              <w:pStyle w:val="TableContents"/>
              <w:bidi w:val="0"/>
              <w:spacing w:before="0" w:after="283"/>
              <w:jc w:val="left"/>
              <w:rPr>
                <w:i/>
              </w:rPr>
            </w:pPr>
            <w:r>
              <w:rPr>
                <w:i/>
              </w:rPr>
              <w:t>Amendments to the Classification and Measurement of Financial Instruments</w:t>
            </w:r>
          </w:p>
        </w:tc>
      </w:tr>
      <w:tr>
        <w:trPr/>
        <w:tc>
          <w:tcPr>
            <w:tcW w:w="3284" w:type="dxa"/>
            <w:tcBorders/>
            <w:vAlign w:val="center"/>
          </w:tcPr>
          <w:p>
            <w:pPr>
              <w:pStyle w:val="TableContents"/>
              <w:bidi w:val="0"/>
              <w:spacing w:before="0" w:after="283"/>
              <w:jc w:val="left"/>
              <w:rPr/>
            </w:pPr>
            <w:r>
              <w:rPr/>
              <w:t> </w:t>
            </w:r>
          </w:p>
        </w:tc>
        <w:tc>
          <w:tcPr>
            <w:tcW w:w="6921" w:type="dxa"/>
            <w:tcBorders/>
            <w:vAlign w:val="center"/>
          </w:tcPr>
          <w:p>
            <w:pPr>
              <w:pStyle w:val="TableContents"/>
              <w:bidi w:val="0"/>
              <w:spacing w:before="0" w:after="283"/>
              <w:ind w:left="0" w:right="0" w:hanging="181"/>
              <w:jc w:val="left"/>
              <w:rPr/>
            </w:pPr>
            <w:r>
              <w:rPr/>
              <w:t> </w:t>
            </w:r>
          </w:p>
        </w:tc>
      </w:tr>
      <w:tr>
        <w:trPr/>
        <w:tc>
          <w:tcPr>
            <w:tcW w:w="3284" w:type="dxa"/>
            <w:tcBorders/>
            <w:vAlign w:val="center"/>
          </w:tcPr>
          <w:p>
            <w:pPr>
              <w:pStyle w:val="TableContents"/>
              <w:bidi w:val="0"/>
              <w:spacing w:before="0" w:after="283"/>
              <w:jc w:val="left"/>
              <w:rPr/>
            </w:pPr>
            <w:r>
              <w:rPr/>
              <w:t xml:space="preserve">Amendments to IFRS 1, IFRS 7, </w:t>
              <w:br/>
              <w:t>IFRS 9, IFRS 10 and IAS 7</w:t>
            </w:r>
          </w:p>
        </w:tc>
        <w:tc>
          <w:tcPr>
            <w:tcW w:w="6921" w:type="dxa"/>
            <w:tcBorders/>
            <w:vAlign w:val="center"/>
          </w:tcPr>
          <w:p>
            <w:pPr>
              <w:pStyle w:val="TableContents"/>
              <w:bidi w:val="0"/>
              <w:spacing w:before="0" w:after="283"/>
              <w:jc w:val="left"/>
              <w:rPr>
                <w:i/>
              </w:rPr>
            </w:pPr>
            <w:r>
              <w:rPr>
                <w:i/>
              </w:rPr>
              <w:t>Annual Improvements to IFRS Accounting Standards – Volume 11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20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5390" w:type="dxa"/>
            <w:tcBorders/>
            <w:vAlign w:val="center"/>
          </w:tcPr>
          <w:p>
            <w:pPr>
              <w:pStyle w:val="TableContents"/>
              <w:bidi w:val="0"/>
              <w:spacing w:before="0" w:after="283"/>
              <w:jc w:val="both"/>
              <w:rPr/>
            </w:pPr>
            <w:r>
              <w:rPr/>
              <w:t xml:space="preserve">CHANGES IN ACCOUNTING POLICIES </w:t>
            </w:r>
            <w:r>
              <w:rPr>
                <w:sz w:val="20"/>
              </w:rPr>
              <w:t>(Continued)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impact of the amended IFRS Accounting Standards are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both"/>
              <w:rPr/>
            </w:pPr>
            <w:r>
              <w:rPr/>
              <w:t xml:space="preserve">Amendments to IFRS 9 and IFRS 7 </w:t>
            </w:r>
            <w:r>
              <w:rPr>
                <w:i/>
              </w:rPr>
              <w:t>Amendments to the Classification and Measurement of Financial instruments</w:t>
            </w:r>
            <w:r>
              <w:rPr/>
              <w:t xml:space="preserve"> clarify that a financial asset is derecognised when the entity’s rights to the contractual cash flows expire or are transferred, while a financial liability is derecognised on the settlement date. The amendments introduce an accounting policy option to derecognise a financial liability that is settled through an electronic payment system before the settlement date if specified criteria are met. The amendments clarify how to assess the contractual cash flow characteristics of financial assets with environmental, social and governance and other similar contingent features. Moreover, the amendments clarify the requirements for classifying financial assets with non-recourse features and contractually linked instruments. The amendments also include additional disclosures for investments in equity instruments designated at fair value through other comprehensive income and financial instruments with contingent features. Since the Group’s accounting policy for the year derecognition of financial assets and liabilities in prior years aligned with the amendments and the Group did not have the financial assets that were addressed by the amendments, the amendments did not have any impact on the interim condensed consolidated financial information. The amendments had no impact on the Group’s unaudited interim condensed consolidated financial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Annual Improvements to IFRS Accounting Standards -Volume 11 set out narrow scope amendments to IFRS 1, IFRS 7, IFRS 9, IFRS 10 and IAS 7. The amendments include clarifications, simplifications, corrections or changes to improve consistency in the corresponding IFRS Accounting Standards. The amendments had no impact on the Group’s unaudited interim condensed consolidated financial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0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4415" w:type="dxa"/>
            <w:tcBorders/>
            <w:vAlign w:val="center"/>
          </w:tcPr>
          <w:p>
            <w:pPr>
              <w:pStyle w:val="TableContents"/>
              <w:bidi w:val="0"/>
              <w:spacing w:before="0" w:after="283"/>
              <w:jc w:val="both"/>
              <w:rPr/>
            </w:pPr>
            <w:r>
              <w:rPr/>
              <w:t>OPERATING SEGMENT INFORMATION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management purposes, the Group has only one reportable operating segment, which is discovering, developing and commercializing therapies for to address global medical needs primarily in hematological malignancies. Management monitors the operating results of the Group’s operating segment as a whole for the purpose of making decisions about resource allocation and performance assessment. Therefore, no analysis by operating segment is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0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5465" w:type="dxa"/>
            <w:tcBorders/>
            <w:vAlign w:val="center"/>
          </w:tcPr>
          <w:p>
            <w:pPr>
              <w:pStyle w:val="TableContents"/>
              <w:bidi w:val="0"/>
              <w:spacing w:before="0" w:after="283"/>
              <w:jc w:val="both"/>
              <w:rPr/>
            </w:pPr>
            <w:r>
              <w:rPr/>
              <w:t xml:space="preserve">OPERATING SEGMENT INFORMATION </w:t>
            </w:r>
            <w:r>
              <w:rPr>
                <w:sz w:val="20"/>
              </w:rPr>
              <w:t>(Continued)</w:t>
            </w:r>
          </w:p>
        </w:tc>
      </w:tr>
    </w:tbl>
    <w:p>
      <w:pPr>
        <w:pStyle w:val="TextBody"/>
        <w:bidi w:val="0"/>
        <w:spacing w:before="0" w:after="0"/>
        <w:ind w:left="44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information</w:t>
      </w:r>
    </w:p>
    <w:p>
      <w:pPr>
        <w:pStyle w:val="TextBody"/>
        <w:bidi w:val="0"/>
        <w:spacing w:before="0" w:after="0"/>
        <w:ind w:left="447" w:right="0" w:hanging="0"/>
        <w:jc w:val="both"/>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275"/>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200" w:type="dxa"/>
            <w:tcBorders/>
            <w:vAlign w:val="center"/>
          </w:tcPr>
          <w:p>
            <w:pPr>
              <w:pStyle w:val="TableContents"/>
              <w:bidi w:val="0"/>
              <w:spacing w:before="0" w:after="283"/>
              <w:jc w:val="both"/>
              <w:rPr/>
            </w:pPr>
            <w:r>
              <w:rPr/>
              <w:t>Revenue from external customers</w:t>
            </w:r>
          </w:p>
        </w:tc>
      </w:tr>
    </w:tbl>
    <w:p>
      <w:pPr>
        <w:pStyle w:val="TextBody"/>
        <w:bidi w:val="0"/>
        <w:spacing w:before="0" w:after="0"/>
        <w:ind w:left="447" w:right="0" w:hanging="0"/>
        <w:jc w:val="both"/>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1730"/>
        <w:gridCol w:w="60"/>
        <w:gridCol w:w="86"/>
        <w:gridCol w:w="1163"/>
        <w:gridCol w:w="84"/>
        <w:gridCol w:w="84"/>
        <w:gridCol w:w="84"/>
        <w:gridCol w:w="1123"/>
        <w:gridCol w:w="75"/>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30 June</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07"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07"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Chinese mainland</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302,214</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233,699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information above is based on the locations of the customers.</w:t>
      </w:r>
    </w:p>
    <w:p>
      <w:pPr>
        <w:pStyle w:val="TextBody"/>
        <w:bidi w:val="0"/>
        <w:spacing w:before="0" w:after="0"/>
        <w:ind w:left="36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29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790" w:type="dxa"/>
            <w:tcBorders/>
            <w:vAlign w:val="center"/>
          </w:tcPr>
          <w:p>
            <w:pPr>
              <w:pStyle w:val="TableContents"/>
              <w:bidi w:val="0"/>
              <w:spacing w:before="0" w:after="283"/>
              <w:jc w:val="both"/>
              <w:rPr/>
            </w:pPr>
            <w:r>
              <w:rPr/>
              <w:t>Non-current assets</w:t>
            </w:r>
          </w:p>
        </w:tc>
      </w:tr>
    </w:tbl>
    <w:p>
      <w:pPr>
        <w:pStyle w:val="TextBody"/>
        <w:bidi w:val="0"/>
        <w:spacing w:before="0" w:after="0"/>
        <w:ind w:left="447" w:right="0" w:hanging="0"/>
        <w:jc w:val="both"/>
        <w:rPr>
          <w:caps w:val="false"/>
          <w:smallCaps w:val="false"/>
        </w:rPr>
      </w:pPr>
      <w:r>
        <w:rPr>
          <w:caps w:val="false"/>
          <w:smallCaps w:val="false"/>
        </w:rPr>
        <w:t> </w:t>
      </w:r>
    </w:p>
    <w:tbl>
      <w:tblPr>
        <w:tblW w:w="5083" w:type="dxa"/>
        <w:jc w:val="left"/>
        <w:tblInd w:w="0" w:type="dxa"/>
        <w:tblLayout w:type="fixed"/>
        <w:tblCellMar>
          <w:top w:w="0" w:type="dxa"/>
          <w:left w:w="0" w:type="dxa"/>
          <w:bottom w:w="0" w:type="dxa"/>
          <w:right w:w="0" w:type="dxa"/>
        </w:tblCellMar>
      </w:tblPr>
      <w:tblGrid>
        <w:gridCol w:w="2285"/>
        <w:gridCol w:w="60"/>
        <w:gridCol w:w="86"/>
        <w:gridCol w:w="1163"/>
        <w:gridCol w:w="60"/>
        <w:gridCol w:w="60"/>
        <w:gridCol w:w="89"/>
        <w:gridCol w:w="1205"/>
        <w:gridCol w:w="75"/>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Chinese mainland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909,049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978,233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4,406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4,489</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919,359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982,757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non-current asset information above is based on the locations of the assets and excludes financial instruments and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major customers</w:t>
      </w:r>
    </w:p>
    <w:p>
      <w:pPr>
        <w:pStyle w:val="TextBody"/>
        <w:bidi w:val="0"/>
        <w:spacing w:before="0" w:after="0"/>
        <w:ind w:left="44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customers amounting to over 10% of the total revenue of the Group for the reporting period is as follows:</w:t>
      </w:r>
    </w:p>
    <w:p>
      <w:pPr>
        <w:pStyle w:val="TextBody"/>
        <w:bidi w:val="0"/>
        <w:spacing w:before="0" w:after="0"/>
        <w:ind w:left="360" w:right="0" w:hanging="0"/>
        <w:jc w:val="both"/>
        <w:rPr>
          <w:caps w:val="false"/>
          <w:smallCaps w:val="false"/>
        </w:rPr>
      </w:pPr>
      <w:r>
        <w:rPr>
          <w:caps w:val="false"/>
          <w:smallCaps w:val="false"/>
        </w:rPr>
        <w:t> </w:t>
      </w:r>
    </w:p>
    <w:tbl>
      <w:tblPr>
        <w:tblW w:w="4062" w:type="dxa"/>
        <w:jc w:val="left"/>
        <w:tblInd w:w="0" w:type="dxa"/>
        <w:tblLayout w:type="fixed"/>
        <w:tblCellMar>
          <w:top w:w="0" w:type="dxa"/>
          <w:left w:w="0" w:type="dxa"/>
          <w:bottom w:w="0" w:type="dxa"/>
          <w:right w:w="0" w:type="dxa"/>
        </w:tblCellMar>
      </w:tblPr>
      <w:tblGrid>
        <w:gridCol w:w="1190"/>
        <w:gridCol w:w="60"/>
        <w:gridCol w:w="86"/>
        <w:gridCol w:w="1163"/>
        <w:gridCol w:w="86"/>
        <w:gridCol w:w="86"/>
        <w:gridCol w:w="86"/>
        <w:gridCol w:w="1150"/>
        <w:gridCol w:w="155"/>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1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pPr>
            <w:r>
              <w:rPr/>
              <w:t>RMB’000</w:t>
            </w:r>
          </w:p>
        </w:tc>
        <w:tc>
          <w:tcPr>
            <w:tcW w:w="1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pPr>
            <w:r>
              <w:rPr/>
              <w:t>(Unaudited)</w:t>
            </w:r>
          </w:p>
        </w:tc>
        <w:tc>
          <w:tcPr>
            <w:tcW w:w="15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210,414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219,866</w:t>
            </w:r>
          </w:p>
        </w:tc>
        <w:tc>
          <w:tcPr>
            <w:tcW w:w="15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39,685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N/A</w:t>
            </w:r>
          </w:p>
        </w:tc>
        <w:tc>
          <w:tcPr>
            <w:tcW w:w="155"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31,139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N/A</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These customers generated less than 10% of the total revenue of the Group during the six months ended 30 June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190" w:type="dxa"/>
            <w:tcBorders/>
            <w:vAlign w:val="center"/>
          </w:tcPr>
          <w:p>
            <w:pPr>
              <w:pStyle w:val="TableContents"/>
              <w:bidi w:val="0"/>
              <w:spacing w:before="0" w:after="283"/>
              <w:jc w:val="both"/>
              <w:rPr/>
            </w:pPr>
            <w:r>
              <w:rPr/>
              <w:t>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analysis of revenue is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Disaggregated revenue information</w:t>
      </w:r>
    </w:p>
    <w:p>
      <w:pPr>
        <w:pStyle w:val="TextBody"/>
        <w:bidi w:val="0"/>
        <w:spacing w:before="0" w:after="0"/>
        <w:ind w:left="447" w:right="0" w:hanging="0"/>
        <w:jc w:val="both"/>
        <w:rPr>
          <w:caps w:val="false"/>
          <w:smallCaps w:val="false"/>
        </w:rPr>
      </w:pPr>
      <w:r>
        <w:rPr>
          <w:caps w:val="false"/>
          <w:smallCaps w:val="false"/>
        </w:rPr>
        <w:t> </w:t>
      </w:r>
    </w:p>
    <w:tbl>
      <w:tblPr>
        <w:tblW w:w="5947" w:type="dxa"/>
        <w:jc w:val="left"/>
        <w:tblInd w:w="0" w:type="dxa"/>
        <w:tblLayout w:type="fixed"/>
        <w:tblCellMar>
          <w:top w:w="0" w:type="dxa"/>
          <w:left w:w="0" w:type="dxa"/>
          <w:bottom w:w="0" w:type="dxa"/>
          <w:right w:w="0" w:type="dxa"/>
        </w:tblCellMar>
      </w:tblPr>
      <w:tblGrid>
        <w:gridCol w:w="3155"/>
        <w:gridCol w:w="60"/>
        <w:gridCol w:w="86"/>
        <w:gridCol w:w="1163"/>
        <w:gridCol w:w="86"/>
        <w:gridCol w:w="86"/>
        <w:gridCol w:w="86"/>
        <w:gridCol w:w="1150"/>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36"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b/>
              </w:rPr>
            </w:pPr>
            <w:r>
              <w:rPr>
                <w:b/>
              </w:rPr>
              <w:t>Types of goods or services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282,367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212,874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Commercialization rights income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18,691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18,691</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2,134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302,214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233,699</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Timing of revenue recognition</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i/>
              </w:rPr>
            </w:pPr>
            <w:r>
              <w:rPr>
                <w:i/>
              </w:rPr>
              <w:t>At a point in time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Sales of products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282,367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212,874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i/>
              </w:rPr>
            </w:pPr>
            <w:r>
              <w:rPr>
                <w:i/>
              </w:rPr>
              <w:t>Over time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Commercialization rights income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18,691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18,691</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2,134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302,214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233,699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amounts of revenue recognized in the current reporting period that were included in the contract liabilities at the beginning of the reporting period:</w:t>
      </w:r>
    </w:p>
    <w:p>
      <w:pPr>
        <w:pStyle w:val="TextBody"/>
        <w:bidi w:val="0"/>
        <w:spacing w:before="0" w:after="0"/>
        <w:ind w:left="360" w:right="0" w:hanging="0"/>
        <w:jc w:val="both"/>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3155"/>
        <w:gridCol w:w="60"/>
        <w:gridCol w:w="101"/>
        <w:gridCol w:w="1148"/>
        <w:gridCol w:w="99"/>
        <w:gridCol w:w="99"/>
        <w:gridCol w:w="99"/>
        <w:gridCol w:w="1124"/>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Commercialization rights income</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18,691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18,691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0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3290" w:type="dxa"/>
            <w:tcBorders/>
            <w:vAlign w:val="center"/>
          </w:tcPr>
          <w:p>
            <w:pPr>
              <w:pStyle w:val="TableContents"/>
              <w:bidi w:val="0"/>
              <w:spacing w:before="0" w:after="283"/>
              <w:jc w:val="both"/>
              <w:rPr/>
            </w:pPr>
            <w:r>
              <w:rPr/>
              <w:t>OTHER INCOME AND GAINS</w:t>
            </w:r>
          </w:p>
        </w:tc>
      </w:tr>
    </w:tbl>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530"/>
        <w:gridCol w:w="60"/>
        <w:gridCol w:w="101"/>
        <w:gridCol w:w="1148"/>
        <w:gridCol w:w="99"/>
        <w:gridCol w:w="99"/>
        <w:gridCol w:w="99"/>
        <w:gridCol w:w="1124"/>
        <w:gridCol w:w="75"/>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23"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Bank interest income</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b/>
              </w:rPr>
            </w:pPr>
            <w:r>
              <w:rPr>
                <w:b/>
              </w:rPr>
              <w:t>35,990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31,410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Government grants related to income</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b/>
              </w:rPr>
            </w:pPr>
            <w:r>
              <w:rPr>
                <w:b/>
              </w:rPr>
              <w:t>4,584</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1,001</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4,253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4,250</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44,827</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center"/>
          </w:tcPr>
          <w:p>
            <w:pPr>
              <w:pStyle w:val="TableContents"/>
              <w:bidi w:val="0"/>
              <w:spacing w:before="0" w:after="283"/>
              <w:jc w:val="right"/>
              <w:rPr/>
            </w:pPr>
            <w:r>
              <w:rPr/>
              <w:t>36,661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2210" w:type="dxa"/>
            <w:tcBorders/>
            <w:vAlign w:val="center"/>
          </w:tcPr>
          <w:p>
            <w:pPr>
              <w:pStyle w:val="TableContents"/>
              <w:bidi w:val="0"/>
              <w:spacing w:before="0" w:after="283"/>
              <w:jc w:val="both"/>
              <w:rPr/>
            </w:pPr>
            <w:r>
              <w:rPr/>
              <w:t>LOSS BEFORE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loss before tax is arrived at after charging/(crediting):</w:t>
      </w:r>
    </w:p>
    <w:p>
      <w:pPr>
        <w:pStyle w:val="TextBody"/>
        <w:bidi w:val="0"/>
        <w:spacing w:before="0" w:after="0"/>
        <w:ind w:left="360" w:right="0" w:hanging="0"/>
        <w:jc w:val="both"/>
        <w:rPr>
          <w:caps w:val="false"/>
          <w:smallCaps w:val="false"/>
        </w:rPr>
      </w:pPr>
      <w:r>
        <w:rPr>
          <w:caps w:val="false"/>
          <w:smallCaps w:val="false"/>
        </w:rPr>
        <w:t> </w:t>
      </w:r>
    </w:p>
    <w:tbl>
      <w:tblPr>
        <w:tblW w:w="8419" w:type="dxa"/>
        <w:jc w:val="left"/>
        <w:tblInd w:w="0" w:type="dxa"/>
        <w:tblLayout w:type="fixed"/>
        <w:tblCellMar>
          <w:top w:w="0" w:type="dxa"/>
          <w:left w:w="0" w:type="dxa"/>
          <w:bottom w:w="0" w:type="dxa"/>
          <w:right w:w="0" w:type="dxa"/>
        </w:tblCellMar>
      </w:tblPr>
      <w:tblGrid>
        <w:gridCol w:w="5570"/>
        <w:gridCol w:w="60"/>
        <w:gridCol w:w="86"/>
        <w:gridCol w:w="1163"/>
        <w:gridCol w:w="134"/>
        <w:gridCol w:w="84"/>
        <w:gridCol w:w="84"/>
        <w:gridCol w:w="1128"/>
        <w:gridCol w:w="110"/>
      </w:tblGrid>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RMB’000</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pPr>
            <w:r>
              <w:rPr/>
              <w:t>(Unaudited)</w:t>
            </w:r>
          </w:p>
        </w:tc>
        <w:tc>
          <w:tcPr>
            <w:tcW w:w="110" w:type="dxa"/>
            <w:tcBorders/>
            <w:vAlign w:val="center"/>
          </w:tcPr>
          <w:p>
            <w:pPr>
              <w:pStyle w:val="TableContents"/>
              <w:bidi w:val="0"/>
              <w:spacing w:before="0" w:after="283"/>
              <w:jc w:val="left"/>
              <w:rPr/>
            </w:pPr>
            <w:r>
              <w:rPr/>
              <w:t> </w:t>
            </w:r>
          </w:p>
        </w:tc>
      </w:tr>
      <w:tr>
        <w:trPr/>
        <w:tc>
          <w:tcPr>
            <w:tcW w:w="5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3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Cost of inventories sold</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10,391</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16,479</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Cost of service provided</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935</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991</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Write-down of inventories to net realisable value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397</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4,180</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33,313</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33,272</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Depreciation of right-of-use assets*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5,047</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5,515</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4,994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5,003</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Impairment provision for intangible assets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23,376</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697,460</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528,561</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Fair value loss/(gain), net: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 xml:space="preserve">– </w:t>
            </w:r>
            <w:r>
              <w:rPr/>
              <w:t>Financial assets at FVTPL</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521</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 xml:space="preserve">– </w:t>
            </w:r>
            <w:r>
              <w:rPr/>
              <w:t>Financial liabilities at FVTPL</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301</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29,322</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Foreign exchange loss, net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23,989</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2,676</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Equity-settled share-based payment expenses*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31,248</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13,048</w:t>
            </w:r>
          </w:p>
        </w:tc>
        <w:tc>
          <w:tcPr>
            <w:tcW w:w="110" w:type="dxa"/>
            <w:tcBorders/>
            <w:shd w:fill="CCEEFF" w:val="clear"/>
            <w:vAlign w:val="center"/>
          </w:tcPr>
          <w:p>
            <w:pPr>
              <w:pStyle w:val="TableContents"/>
              <w:bidi w:val="0"/>
              <w:spacing w:before="0" w:after="283"/>
              <w:jc w:val="left"/>
              <w:rPr/>
            </w:pPr>
            <w:r>
              <w:rPr/>
              <w:t> </w:t>
            </w:r>
          </w:p>
        </w:tc>
      </w:tr>
      <w:tr>
        <w:trPr/>
        <w:tc>
          <w:tcPr>
            <w:tcW w:w="5570" w:type="dxa"/>
            <w:tcBorders/>
            <w:shd w:fill="FFFFFF" w:val="clear"/>
            <w:vAlign w:val="center"/>
          </w:tcPr>
          <w:p>
            <w:pPr>
              <w:pStyle w:val="TableContents"/>
              <w:bidi w:val="0"/>
              <w:spacing w:before="0" w:after="283"/>
              <w:jc w:val="left"/>
              <w:rPr/>
            </w:pPr>
            <w:r>
              <w:rPr/>
              <w:t>Loss on disposal of items of property, plant and equipment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104</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570" w:type="dxa"/>
            <w:tcBorders/>
            <w:shd w:fill="CCEEFF" w:val="clear"/>
            <w:vAlign w:val="center"/>
          </w:tcPr>
          <w:p>
            <w:pPr>
              <w:pStyle w:val="TableContents"/>
              <w:bidi w:val="0"/>
              <w:spacing w:before="0" w:after="283"/>
              <w:jc w:val="left"/>
              <w:rPr/>
            </w:pPr>
            <w:r>
              <w:rPr/>
              <w:t>Bank interest income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(35,990</w:t>
            </w:r>
          </w:p>
        </w:tc>
        <w:tc>
          <w:tcPr>
            <w:tcW w:w="134" w:type="dxa"/>
            <w:tcBorders/>
            <w:shd w:fill="CCEEFF" w:val="clear"/>
            <w:vAlign w:val="center"/>
          </w:tcPr>
          <w:p>
            <w:pPr>
              <w:pStyle w:val="TableContents"/>
              <w:bidi w:val="0"/>
              <w:spacing w:before="0" w:after="283"/>
              <w:jc w:val="left"/>
              <w:rPr>
                <w:b/>
              </w:rPr>
            </w:pPr>
            <w:r>
              <w:rPr>
                <w:b/>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(31,410</w:t>
            </w:r>
          </w:p>
        </w:tc>
        <w:tc>
          <w:tcPr>
            <w:tcW w:w="110" w:type="dxa"/>
            <w:tcBorders/>
            <w:shd w:fill="CCEEFF" w:val="clear"/>
            <w:vAlign w:val="center"/>
          </w:tcPr>
          <w:p>
            <w:pPr>
              <w:pStyle w:val="TableContents"/>
              <w:bidi w:val="0"/>
              <w:spacing w:before="0" w:after="283"/>
              <w:jc w:val="left"/>
              <w:rPr/>
            </w:pPr>
            <w:r>
              <w:rPr/>
              <w:t>)</w:t>
            </w:r>
          </w:p>
        </w:tc>
      </w:tr>
      <w:tr>
        <w:trPr/>
        <w:tc>
          <w:tcPr>
            <w:tcW w:w="5570" w:type="dxa"/>
            <w:tcBorders/>
            <w:shd w:fill="FFFFFF" w:val="clear"/>
            <w:vAlign w:val="center"/>
          </w:tcPr>
          <w:p>
            <w:pPr>
              <w:pStyle w:val="TableContents"/>
              <w:bidi w:val="0"/>
              <w:spacing w:before="0" w:after="283"/>
              <w:jc w:val="left"/>
              <w:rPr/>
            </w:pPr>
            <w:r>
              <w:rPr/>
              <w:t>Government grants related to income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(4,584</w:t>
            </w:r>
          </w:p>
        </w:tc>
        <w:tc>
          <w:tcPr>
            <w:tcW w:w="134" w:type="dxa"/>
            <w:tcBorders/>
            <w:shd w:fill="FFFFFF" w:val="clear"/>
            <w:vAlign w:val="center"/>
          </w:tcPr>
          <w:p>
            <w:pPr>
              <w:pStyle w:val="TableContents"/>
              <w:bidi w:val="0"/>
              <w:spacing w:before="0" w:after="283"/>
              <w:jc w:val="left"/>
              <w:rPr>
                <w:b/>
              </w:rPr>
            </w:pPr>
            <w:r>
              <w:rPr>
                <w:b/>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(1,001</w:t>
            </w:r>
          </w:p>
        </w:tc>
        <w:tc>
          <w:tcPr>
            <w:tcW w:w="110" w:type="dxa"/>
            <w:tcBorders/>
            <w:shd w:fill="FFFFFF" w:val="clear"/>
            <w:vAlign w:val="center"/>
          </w:tcPr>
          <w:p>
            <w:pPr>
              <w:pStyle w:val="TableContents"/>
              <w:bidi w:val="0"/>
              <w:spacing w:before="0" w:after="283"/>
              <w:jc w:val="left"/>
              <w:rPr/>
            </w:pPr>
            <w:r>
              <w:rPr/>
              <w:t>)</w:t>
            </w:r>
          </w:p>
        </w:tc>
      </w:tr>
      <w:tr>
        <w:trPr/>
        <w:tc>
          <w:tcPr>
            <w:tcW w:w="5570" w:type="dxa"/>
            <w:tcBorders/>
            <w:shd w:fill="CCEEFF" w:val="clear"/>
            <w:vAlign w:val="center"/>
          </w:tcPr>
          <w:p>
            <w:pPr>
              <w:pStyle w:val="TableContents"/>
              <w:bidi w:val="0"/>
              <w:spacing w:before="0" w:after="283"/>
              <w:jc w:val="left"/>
              <w:rPr/>
            </w:pPr>
            <w:r>
              <w:rPr/>
              <w:t>Donations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20,687</w:t>
            </w:r>
          </w:p>
        </w:tc>
        <w:tc>
          <w:tcPr>
            <w:tcW w:w="13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7,653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depreciation of property, plant and equipment, the depreciation of right-of-use assets, the amortization of intangible assets and the equity-settled share-based payment expenses for the period are included in “Cost of sales”, “Research and development expenses”, “Selling and distribution expenses” and “Administrative expenses” in the unaudited interim condensed consolidated statement of profit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0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1565" w:type="dxa"/>
            <w:tcBorders/>
            <w:vAlign w:val="center"/>
          </w:tcPr>
          <w:p>
            <w:pPr>
              <w:pStyle w:val="TableContents"/>
              <w:bidi w:val="0"/>
              <w:spacing w:before="0" w:after="283"/>
              <w:jc w:val="both"/>
              <w:rPr/>
            </w:pPr>
            <w:r>
              <w:rPr/>
              <w:t>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income tax on an entity basis on profits arising in or derived from the jurisdictions in which members of the Group are domiciled and operate.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44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and Ascentage Pharma Group International are not subject to tax on income or capital gain arising in the Cayman Islands. Additionally, upon payments of dividends by these companies to its shareholders, no Cayman Islands withholding tax will be imposed.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44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incorporated in Hong Kong are subject to income tax at the rate of 16.5% on the estimated assessable profits arising in Hong Kong. For the six months ended 30 June 2026 and 2025, the Company did not make any provisions for Hong Kong profits tax as there were no assessable profits derived from or earned in Hong Kong for any of the periods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Chinese mainland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domiciled in the PRC are subject to tax at the statutory rate of 25%, in accordance with the Enterprise Income Tax law (the “EIT Law”), which was effective since 1 January 2008, except for the following entity which is eligible for a preferential tax rate.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interest,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447"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operating in the United States is subject to tax at a maximum of 21% for the six months ended 30 June 2026 and 2025. No provision for Income tax has been made as the Group had no assessable profits earned in the United States during the reporting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requirement to capitalize and amortize previously deductible research and experimental expenses resulting from a change in Section 174 made by the Tax Cuts and Jobs Act of 2017 (the “TCJA”) became effective on 1 January 2022. Under the TCJA, the Company is required to capitalize and subsequently amortize R&amp;D expenses over five years for research activities conducted within the U.S and fifteen years for research activities conducted outside of the U.S.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One Big Beautiful Bill Act (“OBBBA”) was enacted, which reinstated current deductibility of domestic research and experimental expenditures and provided an election to accelerate the recovery of previously capitalized costs. The Company did not elect to accelerate the deduction of previously capitalized domestic research and experimental expenditures and will continue to amortize such costs over the remaining statutory periods.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20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2615" w:type="dxa"/>
            <w:tcBorders/>
            <w:vAlign w:val="center"/>
          </w:tcPr>
          <w:p>
            <w:pPr>
              <w:pStyle w:val="TableContents"/>
              <w:bidi w:val="0"/>
              <w:spacing w:before="0" w:after="283"/>
              <w:jc w:val="both"/>
              <w:rPr/>
            </w:pPr>
            <w:r>
              <w:rPr/>
              <w:t xml:space="preserve">INCOME TAX </w:t>
            </w:r>
            <w:r>
              <w:rPr>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and deferred components of the income tax expense are as follows:</w:t>
      </w:r>
    </w:p>
    <w:p>
      <w:pPr>
        <w:pStyle w:val="TextBody"/>
        <w:bidi w:val="0"/>
        <w:spacing w:before="0" w:after="0"/>
        <w:ind w:left="0" w:right="0" w:hanging="0"/>
        <w:jc w:val="both"/>
        <w:rPr>
          <w:caps w:val="false"/>
          <w:smallCaps w:val="false"/>
        </w:rPr>
      </w:pPr>
      <w:r>
        <w:rPr>
          <w:caps w:val="false"/>
          <w:smallCaps w:val="false"/>
        </w:rPr>
        <w:t> </w:t>
      </w:r>
    </w:p>
    <w:tbl>
      <w:tblPr>
        <w:tblW w:w="6615" w:type="dxa"/>
        <w:jc w:val="left"/>
        <w:tblInd w:w="0" w:type="dxa"/>
        <w:tblLayout w:type="fixed"/>
        <w:tblCellMar>
          <w:top w:w="0" w:type="dxa"/>
          <w:left w:w="0" w:type="dxa"/>
          <w:bottom w:w="0" w:type="dxa"/>
          <w:right w:w="0" w:type="dxa"/>
        </w:tblCellMar>
      </w:tblPr>
      <w:tblGrid>
        <w:gridCol w:w="3785"/>
        <w:gridCol w:w="60"/>
        <w:gridCol w:w="107"/>
        <w:gridCol w:w="1215"/>
        <w:gridCol w:w="107"/>
        <w:gridCol w:w="107"/>
        <w:gridCol w:w="112"/>
        <w:gridCol w:w="1047"/>
        <w:gridCol w:w="75"/>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RMB’000</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center"/>
              <w:rPr>
                <w:b/>
              </w:rPr>
            </w:pPr>
            <w:r>
              <w:rPr>
                <w:b/>
              </w:rPr>
              <w:t>(Unaudited)</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righ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b/>
              </w:rPr>
            </w:pPr>
            <w:r>
              <w:rPr>
                <w:b/>
              </w:rPr>
              <w:t>43</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13,582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5,483</w:t>
            </w:r>
          </w:p>
        </w:tc>
        <w:tc>
          <w:tcPr>
            <w:tcW w:w="75"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Total income tax expense for the period</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13,625</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5,512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200"/>
        <w:gridCol w:w="13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1370" w:type="dxa"/>
            <w:tcBorders/>
            <w:vAlign w:val="center"/>
          </w:tcPr>
          <w:p>
            <w:pPr>
              <w:pStyle w:val="TableContents"/>
              <w:bidi w:val="0"/>
              <w:spacing w:before="0" w:after="283"/>
              <w:jc w:val="both"/>
              <w:rPr/>
            </w:pPr>
            <w:r>
              <w:rPr/>
              <w:t>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resolved not to declare any interim dividend for the six months ended 30 June 2026 and 2025.</w:t>
      </w:r>
    </w:p>
    <w:p>
      <w:pPr>
        <w:pStyle w:val="TextBody"/>
        <w:bidi w:val="0"/>
        <w:spacing w:before="0" w:after="0"/>
        <w:ind w:left="0"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32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9800" w:type="dxa"/>
            <w:tcBorders/>
            <w:vAlign w:val="center"/>
          </w:tcPr>
          <w:p>
            <w:pPr>
              <w:pStyle w:val="TableContents"/>
              <w:bidi w:val="0"/>
              <w:spacing w:before="0" w:after="283"/>
              <w:jc w:val="both"/>
              <w:rPr/>
            </w:pPr>
            <w:r>
              <w:rPr/>
              <w:t>LOSS PER SHARE ATTRIBUTABLE TO ORDINARY EQUITY HOLDERS OF THE PARENT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basic earnings per share amount is based on the loss for the six months ended 30 June 2026 attributable to ordinary equity holders of the parent, and the weighted average number of ordinary shares of 373,248,217 (six months ended 30 June 2025: 341,591,027) outstanding during the period, as adjusted to reflect the rights issued during the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has been made to the basic loss per share amounts presented for the six months ended 30 June 2026 and 2025 in respect of a dilution as the impact of the options and RSUs had an anti-dilutive effect on the basic loss per share amounts presented.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loss per share is based on:</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9"/>
        <w:gridCol w:w="60"/>
        <w:gridCol w:w="77"/>
        <w:gridCol w:w="1147"/>
        <w:gridCol w:w="95"/>
        <w:gridCol w:w="60"/>
        <w:gridCol w:w="71"/>
        <w:gridCol w:w="1063"/>
        <w:gridCol w:w="113"/>
      </w:tblGrid>
      <w:tr>
        <w:trPr/>
        <w:tc>
          <w:tcPr>
            <w:tcW w:w="7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4" w:type="dxa"/>
            <w:gridSpan w:val="2"/>
            <w:tcBorders/>
            <w:vAlign w:val="center"/>
          </w:tcPr>
          <w:p>
            <w:pPr>
              <w:pStyle w:val="TableContents"/>
              <w:bidi w:val="0"/>
              <w:spacing w:before="0" w:after="283"/>
              <w:jc w:val="center"/>
              <w:rPr>
                <w:b/>
              </w:rPr>
            </w:pPr>
            <w:r>
              <w:rPr>
                <w:b/>
              </w:rPr>
              <w:t>RMB’000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vAlign w:val="center"/>
          </w:tcPr>
          <w:p>
            <w:pPr>
              <w:pStyle w:val="TableContents"/>
              <w:bidi w:val="0"/>
              <w:spacing w:before="0" w:after="283"/>
              <w:jc w:val="center"/>
              <w:rPr/>
            </w:pPr>
            <w:r>
              <w:rPr/>
              <w:t>RMB’000</w:t>
            </w:r>
          </w:p>
        </w:tc>
        <w:tc>
          <w:tcPr>
            <w:tcW w:w="113" w:type="dxa"/>
            <w:tcBorders/>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4" w:type="dxa"/>
            <w:gridSpan w:val="2"/>
            <w:tcBorders/>
            <w:vAlign w:val="center"/>
          </w:tcPr>
          <w:p>
            <w:pPr>
              <w:pStyle w:val="TableContents"/>
              <w:bidi w:val="0"/>
              <w:spacing w:before="0" w:after="283"/>
              <w:jc w:val="right"/>
              <w:rPr/>
            </w:pPr>
            <w:r>
              <w:rPr/>
              <w:t>(Unaudited)</w:t>
            </w:r>
          </w:p>
        </w:tc>
        <w:tc>
          <w:tcPr>
            <w:tcW w:w="113" w:type="dxa"/>
            <w:tcBorders/>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b/>
              </w:rPr>
            </w:pPr>
            <w:r>
              <w:rPr>
                <w:b/>
              </w:rPr>
              <w:t>Loss</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63" w:type="dxa"/>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ind w:left="0" w:right="0" w:hanging="181"/>
              <w:jc w:val="left"/>
              <w:rPr/>
            </w:pPr>
            <w:r>
              <w:rPr/>
              <w:t> </w:t>
            </w:r>
          </w:p>
        </w:tc>
      </w:tr>
      <w:tr>
        <w:trPr/>
        <w:tc>
          <w:tcPr>
            <w:tcW w:w="7519" w:type="dxa"/>
            <w:tcBorders/>
            <w:shd w:fill="CCEEFF" w:val="clear"/>
            <w:vAlign w:val="center"/>
          </w:tcPr>
          <w:p>
            <w:pPr>
              <w:pStyle w:val="TableContents"/>
              <w:bidi w:val="0"/>
              <w:spacing w:before="0" w:after="283"/>
              <w:jc w:val="left"/>
              <w:rPr/>
            </w:pPr>
            <w:r>
              <w:rPr/>
              <w:t>Loss attributable to ordinary equity holders of the Parent, used in the basic and diluted loss per share calculation</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(816,694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bidi w:val="0"/>
              <w:spacing w:before="0" w:after="283"/>
              <w:jc w:val="right"/>
              <w:rPr/>
            </w:pPr>
            <w:r>
              <w:rPr/>
              <w:t>(590,768</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3"/>
        <w:gridCol w:w="9854"/>
      </w:tblGrid>
      <w:tr>
        <w:trPr/>
        <w:tc>
          <w:tcPr>
            <w:tcW w:w="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10.</w:t>
            </w:r>
          </w:p>
        </w:tc>
        <w:tc>
          <w:tcPr>
            <w:tcW w:w="9854" w:type="dxa"/>
            <w:tcBorders/>
            <w:vAlign w:val="center"/>
          </w:tcPr>
          <w:p>
            <w:pPr>
              <w:pStyle w:val="TableContents"/>
              <w:bidi w:val="0"/>
              <w:spacing w:before="0" w:after="283"/>
              <w:jc w:val="both"/>
              <w:rPr/>
            </w:pPr>
            <w:r>
              <w:rPr/>
              <w:t xml:space="preserve">LOSS PER SHARE ATTRIBUTABLE TO ORDINARY EQUITY HOLDERS OF THE PARENT </w:t>
            </w:r>
            <w:r>
              <w:rPr>
                <w:sz w:val="20"/>
              </w:rPr>
              <w:t>(Continued)</w:t>
            </w:r>
          </w:p>
        </w:tc>
      </w:tr>
    </w:tbl>
    <w:p>
      <w:pPr>
        <w:pStyle w:val="TextBody"/>
        <w:bidi w:val="0"/>
        <w:spacing w:before="0" w:after="283"/>
        <w:jc w:val="left"/>
        <w:rPr/>
      </w:pPr>
      <w:r>
        <w:rPr/>
        <w:t> </w:t>
      </w:r>
    </w:p>
    <w:tbl>
      <w:tblPr>
        <w:tblW w:w="8505" w:type="dxa"/>
        <w:jc w:val="left"/>
        <w:tblInd w:w="0" w:type="dxa"/>
        <w:tblLayout w:type="fixed"/>
        <w:tblCellMar>
          <w:top w:w="0" w:type="dxa"/>
          <w:left w:w="0" w:type="dxa"/>
          <w:bottom w:w="0" w:type="dxa"/>
          <w:right w:w="0" w:type="dxa"/>
        </w:tblCellMar>
      </w:tblPr>
      <w:tblGrid>
        <w:gridCol w:w="5690"/>
        <w:gridCol w:w="60"/>
        <w:gridCol w:w="60"/>
        <w:gridCol w:w="1220"/>
        <w:gridCol w:w="60"/>
        <w:gridCol w:w="60"/>
        <w:gridCol w:w="60"/>
        <w:gridCol w:w="1220"/>
        <w:gridCol w:w="75"/>
      </w:tblGrid>
      <w:tr>
        <w:trPr/>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75" w:type="dxa"/>
            <w:tcBorders/>
            <w:vAlign w:val="center"/>
          </w:tcPr>
          <w:p>
            <w:pPr>
              <w:pStyle w:val="TableContents"/>
              <w:bidi w:val="0"/>
              <w:spacing w:before="0" w:after="283"/>
              <w:jc w:val="center"/>
              <w:rPr/>
            </w:pPr>
            <w:r>
              <w:rPr/>
              <w:t> </w:t>
            </w:r>
          </w:p>
        </w:tc>
      </w:tr>
      <w:tr>
        <w:trPr/>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5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center"/>
              <w:rPr/>
            </w:pPr>
            <w:r>
              <w:rPr/>
              <w:t> </w:t>
            </w:r>
          </w:p>
        </w:tc>
      </w:tr>
      <w:tr>
        <w:trPr/>
        <w:tc>
          <w:tcPr>
            <w:tcW w:w="5690" w:type="dxa"/>
            <w:tcBorders/>
            <w:shd w:fill="FFFFFF" w:val="clear"/>
            <w:vAlign w:val="center"/>
          </w:tcPr>
          <w:p>
            <w:pPr>
              <w:pStyle w:val="TableContents"/>
              <w:bidi w:val="0"/>
              <w:spacing w:before="0" w:after="283"/>
              <w:jc w:val="left"/>
              <w:rPr>
                <w:b/>
              </w:rPr>
            </w:pPr>
            <w:r>
              <w:rPr>
                <w:b/>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1"/>
              <w:jc w:val="left"/>
              <w:rPr/>
            </w:pPr>
            <w:r>
              <w:rPr/>
              <w:t> </w:t>
            </w:r>
          </w:p>
        </w:tc>
      </w:tr>
      <w:tr>
        <w:trPr/>
        <w:tc>
          <w:tcPr>
            <w:tcW w:w="5690" w:type="dxa"/>
            <w:tcBorders/>
            <w:shd w:fill="CCEEFF" w:val="clear"/>
            <w:vAlign w:val="center"/>
          </w:tcPr>
          <w:p>
            <w:pPr>
              <w:pStyle w:val="TableContents"/>
              <w:bidi w:val="0"/>
              <w:spacing w:before="0" w:after="283"/>
              <w:jc w:val="left"/>
              <w:rPr/>
            </w:pPr>
            <w:r>
              <w:rPr/>
              <w:t xml:space="preserve">Weighted average number of ordinary shares outstanding </w:t>
              <w:br/>
              <w:t>during the period used in the basic loss per share calculation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373,248,217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341,591,027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number of shares was after taking into account the effect of treasury shares held.</w:t>
      </w:r>
    </w:p>
    <w:p>
      <w:pPr>
        <w:pStyle w:val="TextBody"/>
        <w:bidi w:val="0"/>
        <w:spacing w:before="0" w:after="0"/>
        <w:ind w:left="0" w:right="0" w:hanging="0"/>
        <w:jc w:val="both"/>
        <w:rPr>
          <w:caps w:val="false"/>
          <w:smallCaps w:val="false"/>
        </w:rPr>
      </w:pPr>
      <w:r>
        <w:rPr>
          <w:caps w:val="false"/>
          <w:smallCaps w:val="false"/>
        </w:rPr>
        <w:t> </w:t>
      </w:r>
    </w:p>
    <w:tbl>
      <w:tblPr>
        <w:tblW w:w="4638" w:type="dxa"/>
        <w:jc w:val="left"/>
        <w:tblInd w:w="0" w:type="dxa"/>
        <w:tblLayout w:type="fixed"/>
        <w:tblCellMar>
          <w:top w:w="0" w:type="dxa"/>
          <w:left w:w="0" w:type="dxa"/>
          <w:bottom w:w="0" w:type="dxa"/>
          <w:right w:w="0" w:type="dxa"/>
        </w:tblCellMar>
      </w:tblPr>
      <w:tblGrid>
        <w:gridCol w:w="38"/>
        <w:gridCol w:w="32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4280" w:type="dxa"/>
            <w:tcBorders/>
            <w:vAlign w:val="center"/>
          </w:tcPr>
          <w:p>
            <w:pPr>
              <w:pStyle w:val="TableContents"/>
              <w:bidi w:val="0"/>
              <w:spacing w:before="0" w:after="283"/>
              <w:jc w:val="both"/>
              <w:rPr/>
            </w:pPr>
            <w:r>
              <w:rPr/>
              <w:t>PROPERTY, PLANT AND EQUIPMENT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the Group acquired assets at a cost of RMB3,766,000 (six months ended 30 June 2025: RMB5,024,000).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no impairment loss was recognized for property, plant and equipment (six months ended 30 June 2025: Nil).</w:t>
      </w:r>
    </w:p>
    <w:p>
      <w:pPr>
        <w:pStyle w:val="TextBody"/>
        <w:bidi w:val="0"/>
        <w:spacing w:before="0" w:after="0"/>
        <w:ind w:left="0" w:right="0" w:hanging="0"/>
        <w:jc w:val="both"/>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32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2585" w:type="dxa"/>
            <w:tcBorders/>
            <w:vAlign w:val="center"/>
          </w:tcPr>
          <w:p>
            <w:pPr>
              <w:pStyle w:val="TableContents"/>
              <w:bidi w:val="0"/>
              <w:spacing w:before="0" w:after="283"/>
              <w:jc w:val="both"/>
              <w:rPr/>
            </w:pPr>
            <w:r>
              <w:rPr/>
              <w:t>TRADE RECEIVABLES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ageing analysis of the trade receivables as at the end of the reporting period, based on the invoice date, is as follows:</w:t>
      </w:r>
    </w:p>
    <w:p>
      <w:pPr>
        <w:pStyle w:val="TextBody"/>
        <w:bidi w:val="0"/>
        <w:spacing w:before="0" w:after="0"/>
        <w:ind w:left="360" w:right="0" w:hanging="0"/>
        <w:jc w:val="both"/>
        <w:rPr>
          <w:caps w:val="false"/>
          <w:smallCaps w:val="false"/>
        </w:rPr>
      </w:pPr>
      <w:r>
        <w:rPr>
          <w:caps w:val="false"/>
          <w:smallCaps w:val="false"/>
        </w:rPr>
        <w:t> </w:t>
      </w:r>
    </w:p>
    <w:tbl>
      <w:tblPr>
        <w:tblW w:w="4454" w:type="dxa"/>
        <w:jc w:val="left"/>
        <w:tblInd w:w="0" w:type="dxa"/>
        <w:tblLayout w:type="fixed"/>
        <w:tblCellMar>
          <w:top w:w="0" w:type="dxa"/>
          <w:left w:w="0" w:type="dxa"/>
          <w:bottom w:w="0" w:type="dxa"/>
          <w:right w:w="0" w:type="dxa"/>
        </w:tblCellMar>
      </w:tblPr>
      <w:tblGrid>
        <w:gridCol w:w="1655"/>
        <w:gridCol w:w="60"/>
        <w:gridCol w:w="86"/>
        <w:gridCol w:w="1163"/>
        <w:gridCol w:w="60"/>
        <w:gridCol w:w="60"/>
        <w:gridCol w:w="90"/>
        <w:gridCol w:w="1205"/>
        <w:gridCol w:w="75"/>
      </w:tblGrid>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Within 45 days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125,786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252,938</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45 days to 1 year</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156,396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252,938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2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195" w:type="dxa"/>
            <w:tcBorders/>
            <w:vAlign w:val="center"/>
          </w:tcPr>
          <w:p>
            <w:pPr>
              <w:pStyle w:val="TableContents"/>
              <w:bidi w:val="0"/>
              <w:spacing w:before="0" w:after="283"/>
              <w:jc w:val="both"/>
              <w:rPr/>
            </w:pPr>
            <w:r>
              <w:rPr/>
              <w:t>TRADE PAYABLES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ageing analysis of the trade payables as at the end of the reporting period, based on the invoice date, is as follows:</w:t>
      </w:r>
    </w:p>
    <w:p>
      <w:pPr>
        <w:pStyle w:val="TextBody"/>
        <w:bidi w:val="0"/>
        <w:spacing w:before="0" w:after="0"/>
        <w:ind w:left="360" w:right="0" w:hanging="0"/>
        <w:jc w:val="both"/>
        <w:rPr>
          <w:caps w:val="false"/>
          <w:smallCaps w:val="false"/>
        </w:rPr>
      </w:pPr>
      <w:r>
        <w:rPr>
          <w:caps w:val="false"/>
          <w:smallCaps w:val="false"/>
        </w:rPr>
        <w:t> </w:t>
      </w:r>
    </w:p>
    <w:tbl>
      <w:tblPr>
        <w:tblW w:w="4318" w:type="dxa"/>
        <w:jc w:val="left"/>
        <w:tblInd w:w="0" w:type="dxa"/>
        <w:tblLayout w:type="fixed"/>
        <w:tblCellMar>
          <w:top w:w="0" w:type="dxa"/>
          <w:left w:w="0" w:type="dxa"/>
          <w:bottom w:w="0" w:type="dxa"/>
          <w:right w:w="0" w:type="dxa"/>
        </w:tblCellMar>
      </w:tblPr>
      <w:tblGrid>
        <w:gridCol w:w="1520"/>
        <w:gridCol w:w="60"/>
        <w:gridCol w:w="86"/>
        <w:gridCol w:w="1163"/>
        <w:gridCol w:w="60"/>
        <w:gridCol w:w="60"/>
        <w:gridCol w:w="89"/>
        <w:gridCol w:w="1205"/>
        <w:gridCol w:w="75"/>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Within 1 month</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55,665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91,119</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1 to 3 months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16,665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3,648</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3 to 6 months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23,463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11,973</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Over 6 months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106,912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106,740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32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6320" w:type="dxa"/>
            <w:tcBorders/>
            <w:vAlign w:val="center"/>
          </w:tcPr>
          <w:p>
            <w:pPr>
              <w:pStyle w:val="TableContents"/>
              <w:bidi w:val="0"/>
              <w:spacing w:before="0" w:after="283"/>
              <w:jc w:val="both"/>
              <w:rPr/>
            </w:pPr>
            <w:r>
              <w:rPr/>
              <w:t>INTEREST-BEARING BANK AND OTHER BORROWINGS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June 2026 (Unaudited)</w:t>
      </w:r>
    </w:p>
    <w:p>
      <w:pPr>
        <w:pStyle w:val="TextBody"/>
        <w:bidi w:val="0"/>
        <w:spacing w:before="0" w:after="0"/>
        <w:ind w:left="360" w:right="0" w:hanging="0"/>
        <w:jc w:val="both"/>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4985"/>
        <w:gridCol w:w="60"/>
        <w:gridCol w:w="2030"/>
        <w:gridCol w:w="60"/>
        <w:gridCol w:w="1220"/>
        <w:gridCol w:w="60"/>
        <w:gridCol w:w="60"/>
        <w:gridCol w:w="980"/>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030" w:type="dxa"/>
            <w:tcBorders>
              <w:bottom w:val="single" w:sz="12" w:space="0" w:color="000000"/>
            </w:tcBorders>
            <w:tcMar>
              <w:bottom w:w="28" w:type="dxa"/>
            </w:tcMar>
            <w:vAlign w:val="center"/>
          </w:tcPr>
          <w:p>
            <w:pPr>
              <w:pStyle w:val="TableContents"/>
              <w:bidi w:val="0"/>
              <w:spacing w:before="0" w:after="283"/>
              <w:jc w:val="center"/>
              <w:rPr>
                <w:b/>
              </w:rPr>
            </w:pPr>
            <w:r>
              <w:rPr>
                <w:b/>
              </w:rPr>
              <w:t xml:space="preserve">Effective </w:t>
              <w:br/>
              <w:t>interest rate (%)</w:t>
            </w:r>
          </w:p>
        </w:tc>
        <w:tc>
          <w:tcPr>
            <w:tcW w:w="60" w:type="dxa"/>
            <w:tcBorders/>
            <w:vAlign w:val="center"/>
          </w:tcPr>
          <w:p>
            <w:pPr>
              <w:pStyle w:val="TableContents"/>
              <w:bidi w:val="0"/>
              <w:spacing w:before="0" w:after="283"/>
              <w:jc w:val="center"/>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RMB’000</w:t>
            </w:r>
          </w:p>
        </w:tc>
        <w:tc>
          <w:tcPr>
            <w:tcW w:w="75" w:type="dxa"/>
            <w:tcBorders/>
            <w:vAlign w:val="center"/>
          </w:tcPr>
          <w:p>
            <w:pPr>
              <w:pStyle w:val="TableContents"/>
              <w:bidi w:val="0"/>
              <w:spacing w:before="0" w:after="283"/>
              <w:jc w:val="center"/>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Current</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Short-term borrowing</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2.11 – 2.26 or </w:t>
            </w:r>
          </w:p>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year LPR-0.30 to 0.89</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b/>
              </w:rPr>
            </w:pPr>
            <w:r>
              <w:rPr>
                <w:b/>
              </w:rPr>
              <w:t>2026 –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1,438,000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unsecured</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1 year LPR-0.50</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b/>
              </w:rPr>
            </w:pPr>
            <w:r>
              <w:rPr>
                <w:b/>
              </w:rPr>
              <w:t>2026 –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11,000</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secured*</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5 year LPR-0.85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b/>
              </w:rPr>
            </w:pPr>
            <w:r>
              <w:rPr>
                <w:b/>
              </w:rPr>
              <w:t>2026 –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16,498</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4.00 – 4.35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b/>
              </w:rPr>
            </w:pPr>
            <w:r>
              <w:rPr>
                <w:b/>
              </w:rPr>
              <w:t>2026 – 2027</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9,624</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Total – current</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1,475,122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b/>
              </w:rPr>
            </w:pPr>
            <w:r>
              <w:rPr>
                <w:b/>
              </w:rPr>
              <w:t>Non-current</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Bank loans – unsecured</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1 year LPR-0.50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b/>
              </w:rPr>
            </w:pPr>
            <w:r>
              <w:rPr>
                <w:b/>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33,000</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Bank loans – secured*</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b/>
              </w:rPr>
            </w:pPr>
            <w:r>
              <w:rPr>
                <w:b/>
              </w:rPr>
              <w:t>5 year LPR-0.85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b/>
              </w:rPr>
            </w:pPr>
            <w:r>
              <w:rPr>
                <w:b/>
              </w:rPr>
              <w:t>2027 – 2038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572,342</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b/>
              </w:rPr>
            </w:pPr>
            <w:r>
              <w:rPr>
                <w:b/>
              </w:rPr>
              <w:t>4.00 – 4.35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b/>
              </w:rPr>
            </w:pPr>
            <w:r>
              <w:rPr>
                <w:b/>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14,107</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 – non-current</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619,449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2,094,571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32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7370" w:type="dxa"/>
            <w:tcBorders/>
            <w:vAlign w:val="center"/>
          </w:tcPr>
          <w:p>
            <w:pPr>
              <w:pStyle w:val="TableContents"/>
              <w:bidi w:val="0"/>
              <w:spacing w:before="0" w:after="283"/>
              <w:jc w:val="both"/>
              <w:rPr/>
            </w:pPr>
            <w:r>
              <w:rPr/>
              <w:t xml:space="preserve">INTEREST-BEARING BANK AND OTHER BORROWINGS </w:t>
            </w:r>
            <w:r>
              <w:rPr>
                <w:sz w:val="20"/>
              </w:rPr>
              <w:t>(Continued)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December 2025 (Audited)</w:t>
      </w:r>
    </w:p>
    <w:p>
      <w:pPr>
        <w:pStyle w:val="TextBody"/>
        <w:bidi w:val="0"/>
        <w:spacing w:before="0" w:after="0"/>
        <w:ind w:left="0" w:right="0" w:hanging="0"/>
        <w:jc w:val="both"/>
        <w:rPr>
          <w:caps w:val="false"/>
          <w:smallCaps w:val="false"/>
        </w:rPr>
      </w:pPr>
      <w:r>
        <w:rPr>
          <w:caps w:val="false"/>
          <w:smallCaps w:val="false"/>
        </w:rPr>
        <w:t> </w:t>
      </w:r>
    </w:p>
    <w:tbl>
      <w:tblPr>
        <w:tblW w:w="9830" w:type="dxa"/>
        <w:jc w:val="left"/>
        <w:tblInd w:w="0" w:type="dxa"/>
        <w:tblLayout w:type="fixed"/>
        <w:tblCellMar>
          <w:top w:w="0" w:type="dxa"/>
          <w:left w:w="0" w:type="dxa"/>
          <w:bottom w:w="0" w:type="dxa"/>
          <w:right w:w="0" w:type="dxa"/>
        </w:tblCellMar>
      </w:tblPr>
      <w:tblGrid>
        <w:gridCol w:w="4985"/>
        <w:gridCol w:w="60"/>
        <w:gridCol w:w="2330"/>
        <w:gridCol w:w="60"/>
        <w:gridCol w:w="1220"/>
        <w:gridCol w:w="60"/>
        <w:gridCol w:w="60"/>
        <w:gridCol w:w="980"/>
        <w:gridCol w:w="75"/>
      </w:tblGrid>
      <w:tr>
        <w:trPr/>
        <w:tc>
          <w:tcPr>
            <w:tcW w:w="49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12" w:space="0" w:color="000000"/>
            </w:tcBorders>
            <w:tcMar>
              <w:bottom w:w="28" w:type="dxa"/>
            </w:tcMar>
            <w:vAlign w:val="center"/>
          </w:tcPr>
          <w:p>
            <w:pPr>
              <w:pStyle w:val="TableContents"/>
              <w:bidi w:val="0"/>
              <w:spacing w:before="0" w:after="283"/>
              <w:jc w:val="center"/>
              <w:rPr/>
            </w:pPr>
            <w:r>
              <w:rPr/>
              <w:t>Effective</w:t>
              <w:br/>
              <w:t>interest rate (%)</w:t>
            </w:r>
          </w:p>
        </w:tc>
        <w:tc>
          <w:tcPr>
            <w:tcW w:w="60" w:type="dxa"/>
            <w:tcBorders/>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pPr>
            <w:r>
              <w:rPr/>
              <w:t>Maturity</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Short-term borrowing</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 xml:space="preserve">2.11 – 2.50 or </w:t>
              <w:br/>
              <w:t>1 year LPR-0.60 to 0.89</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1,040,000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unsecured</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2.80</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Current portion of long term bank loans – unsecured</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1 year LPR-0.45 to 0.75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156,200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Current portion of long term bank loans – secured*</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5 year LPR-0.85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16,498</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4.00 – 4.35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7,283</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Total – current</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1,222,481</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b/>
              </w:rPr>
            </w:pPr>
            <w:r>
              <w:rPr>
                <w:b/>
              </w:rPr>
              <w:t>Non-current</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Bank loans – unsecured</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1 year LPR-0.45 to 0.75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2027 – 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114,900</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Bank loans – unsecured</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2.80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43,750</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Bank loans – secured*</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5 year LPR-0.85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2027 – 2038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583,675</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4.00 – 4.35</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2027 – 2028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14,913</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Total – non-current</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757,238</w:t>
            </w:r>
          </w:p>
        </w:tc>
        <w:tc>
          <w:tcPr>
            <w:tcW w:w="75" w:type="dxa"/>
            <w:tcBorders/>
            <w:shd w:fill="CCEEFF" w:val="clear"/>
            <w:vAlign w:val="center"/>
          </w:tcPr>
          <w:p>
            <w:pPr>
              <w:pStyle w:val="TableContents"/>
              <w:bidi w:val="0"/>
              <w:spacing w:before="0" w:after="283"/>
              <w:ind w:left="0" w:right="0" w:hanging="360"/>
              <w:jc w:val="left"/>
              <w:rPr/>
            </w:pPr>
            <w:r>
              <w:rPr/>
              <w:t> </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360"/>
              <w:jc w:val="left"/>
              <w:rPr/>
            </w:pPr>
            <w:r>
              <w:rPr/>
              <w:t> </w:t>
            </w:r>
          </w:p>
        </w:tc>
      </w:tr>
      <w:tr>
        <w:trPr/>
        <w:tc>
          <w:tcPr>
            <w:tcW w:w="498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3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1,979,719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54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Note:</w:t>
            </w:r>
          </w:p>
        </w:tc>
        <w:tc>
          <w:tcPr>
            <w:tcW w:w="3470" w:type="dxa"/>
            <w:tcBorders/>
            <w:vAlign w:val="center"/>
          </w:tcPr>
          <w:p>
            <w:pPr>
              <w:pStyle w:val="TableContents"/>
              <w:bidi w:val="0"/>
              <w:spacing w:before="0" w:after="283"/>
              <w:jc w:val="both"/>
              <w:rPr/>
            </w:pPr>
            <w:r>
              <w:rPr/>
              <w:t>LPR stands for the Loan Prime Rate</w:t>
            </w:r>
          </w:p>
        </w:tc>
      </w:tr>
    </w:tbl>
    <w:p>
      <w:pPr>
        <w:pStyle w:val="TextBody"/>
        <w:bidi w:val="0"/>
        <w:spacing w:before="0" w:after="0"/>
        <w:ind w:left="1105" w:right="0" w:hanging="63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bank loans amounting to RMB588,840,000 (31 December 2025: RMB600,173,000) were secured by the pledge of the Group’s buildings with a net carrying amount of approximately RMB657,520,000 (31 December 2025: RMB676,985,000) and right-of-use assets with a net carrying amount of approximately RMB24,771,000 (31 December 2025: RMB25,338,000) as at 30 June 2026. Such loans were also guaranteed by two of the Group’s subsidiaries.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32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7370" w:type="dxa"/>
            <w:tcBorders/>
            <w:vAlign w:val="center"/>
          </w:tcPr>
          <w:p>
            <w:pPr>
              <w:pStyle w:val="TableContents"/>
              <w:bidi w:val="0"/>
              <w:spacing w:before="0" w:after="283"/>
              <w:jc w:val="both"/>
              <w:rPr/>
            </w:pPr>
            <w:r>
              <w:rPr/>
              <w:t xml:space="preserve">INTEREST-BEARING BANK AND OTHER BORROWINGS </w:t>
            </w:r>
            <w:r>
              <w:rPr>
                <w:sz w:val="20"/>
              </w:rPr>
              <w:t>(Continued)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unsecured bank loans amounting to RMB63,000,000 (31 December 2025: RMB140,000,000) were guaranteed by the Group’s subsidiaries as at 30 June 2026.</w:t>
      </w:r>
    </w:p>
    <w:p>
      <w:pPr>
        <w:pStyle w:val="TextBody"/>
        <w:bidi w:val="0"/>
        <w:spacing w:before="0" w:after="0"/>
        <w:ind w:left="360" w:right="0" w:hanging="0"/>
        <w:jc w:val="both"/>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275"/>
        <w:gridCol w:w="60"/>
        <w:gridCol w:w="71"/>
        <w:gridCol w:w="1178"/>
        <w:gridCol w:w="60"/>
        <w:gridCol w:w="60"/>
        <w:gridCol w:w="74"/>
        <w:gridCol w:w="1220"/>
        <w:gridCol w:w="75"/>
      </w:tblGrid>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left"/>
              <w:rPr/>
            </w:pPr>
            <w:r>
              <w:rPr/>
              <w:t>Analysed into:</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left"/>
              <w:rPr/>
            </w:pPr>
            <w:r>
              <w:rPr/>
              <w:t>Within one year</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1,475,122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1,222,481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shd w:fill="FFFFFF" w:val="clear"/>
            <w:vAlign w:val="center"/>
          </w:tcPr>
          <w:p>
            <w:pPr>
              <w:pStyle w:val="TableContents"/>
              <w:bidi w:val="0"/>
              <w:spacing w:before="0" w:after="283"/>
              <w:jc w:val="left"/>
              <w:rPr/>
            </w:pPr>
            <w:r>
              <w:rPr/>
              <w:t>In the second year</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b/>
              </w:rPr>
            </w:pPr>
            <w:r>
              <w:rPr>
                <w:b/>
              </w:rPr>
              <w:t>70,703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160,201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left"/>
              <w:rPr/>
            </w:pPr>
            <w:r>
              <w:rPr/>
              <w:t>In the third to fifth years, inclusive</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b/>
              </w:rPr>
            </w:pPr>
            <w:r>
              <w:rPr>
                <w:b/>
              </w:rPr>
              <w:t>117,226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140,100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shd w:fill="FFFFFF" w:val="clear"/>
            <w:vAlign w:val="center"/>
          </w:tcPr>
          <w:p>
            <w:pPr>
              <w:pStyle w:val="TableContents"/>
              <w:bidi w:val="0"/>
              <w:spacing w:before="0" w:after="283"/>
              <w:jc w:val="left"/>
              <w:rPr/>
            </w:pPr>
            <w:r>
              <w:rPr/>
              <w:t>Beyond five years</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431,520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456,937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2,094,571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1,979,719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32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1940" w:type="dxa"/>
            <w:tcBorders/>
            <w:vAlign w:val="center"/>
          </w:tcPr>
          <w:p>
            <w:pPr>
              <w:pStyle w:val="TableContents"/>
              <w:bidi w:val="0"/>
              <w:spacing w:before="0" w:after="283"/>
              <w:jc w:val="both"/>
              <w:rPr/>
            </w:pPr>
            <w:r>
              <w:rPr/>
              <w:t>SHARE CAPITAL</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issued ordinary shares with respect to the restricted share units under the 2022 RSU scheme by certain selected persons of the Company. In connection with the exercised restricted share units, 23,836 new shares of the Company were issued, and an amount of RMB16 was credited as 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issued ordinary shares with respect to the restricted share units under the 2022 RSU scheme by certain selected persons of the Company. In connection with the exercised restricted share units, 183,069 new shares of the Company were issued, and an amount of RMB125 was credited as 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30 June 2026, the Company issued ordinary shares with respect to the share options under the pre-IPO share option scheme exercised by certain grantees of the Company. In connection with the exercised share options, 27,171 new shares of the Company were issued with the weighted average exercise price of HK$0.01, and an amount of RMB19 was credited as share capital.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instructed the trustee to purchase 150,000 of its shares on the Hong Kong Stock Exchange at a total consideration of RMB5,147,000 for the purpose of the 2022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instructed the trustee to purchase 300,000 of its shares on the Hong Kong Stock Exchange at a total consideration of RMB8,803,000 for the purpose of the 2022 RSU Scheme.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38"/>
        <w:gridCol w:w="32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1850" w:type="dxa"/>
            <w:tcBorders/>
            <w:vAlign w:val="center"/>
          </w:tcPr>
          <w:p>
            <w:pPr>
              <w:pStyle w:val="TableContents"/>
              <w:bidi w:val="0"/>
              <w:spacing w:before="0" w:after="283"/>
              <w:jc w:val="both"/>
              <w:rPr/>
            </w:pPr>
            <w:r>
              <w:rPr/>
              <w:t>COMMITMENTS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30 June 2026, the Group had capital commitments of RMB1,613,000 relating to furniture and equipment (31 December 2025: RMB307,000).</w:t>
      </w:r>
    </w:p>
    <w:p>
      <w:pPr>
        <w:pStyle w:val="TextBody"/>
        <w:bidi w:val="0"/>
        <w:spacing w:before="0" w:after="0"/>
        <w:ind w:left="360" w:right="0" w:hanging="0"/>
        <w:jc w:val="both"/>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32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3965" w:type="dxa"/>
            <w:tcBorders/>
            <w:vAlign w:val="center"/>
          </w:tcPr>
          <w:p>
            <w:pPr>
              <w:pStyle w:val="TableContents"/>
              <w:bidi w:val="0"/>
              <w:spacing w:before="0" w:after="283"/>
              <w:jc w:val="both"/>
              <w:rPr/>
            </w:pPr>
            <w:r>
              <w:rPr/>
              <w:t>RELATED PARTY TRANSACTIONS</w:t>
            </w:r>
          </w:p>
        </w:tc>
      </w:tr>
    </w:tbl>
    <w:p>
      <w:pPr>
        <w:pStyle w:val="TextBody"/>
        <w:bidi w:val="0"/>
        <w:spacing w:before="0" w:after="283"/>
        <w:jc w:val="left"/>
        <w:rPr/>
      </w:pPr>
      <w:r>
        <w:rPr/>
        <w:t> </w:t>
      </w:r>
    </w:p>
    <w:tbl>
      <w:tblPr>
        <w:tblW w:w="3468" w:type="dxa"/>
        <w:jc w:val="left"/>
        <w:tblInd w:w="0" w:type="dxa"/>
        <w:tblLayout w:type="fixed"/>
        <w:tblCellMar>
          <w:top w:w="0" w:type="dxa"/>
          <w:left w:w="0" w:type="dxa"/>
          <w:bottom w:w="0" w:type="dxa"/>
          <w:right w:w="0" w:type="dxa"/>
        </w:tblCellMar>
      </w:tblPr>
      <w:tblGrid>
        <w:gridCol w:w="38"/>
        <w:gridCol w:w="27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155" w:type="dxa"/>
            <w:tcBorders/>
            <w:vAlign w:val="center"/>
          </w:tcPr>
          <w:p>
            <w:pPr>
              <w:pStyle w:val="TableContents"/>
              <w:bidi w:val="0"/>
              <w:spacing w:before="0" w:after="283"/>
              <w:jc w:val="both"/>
              <w:rPr/>
            </w:pPr>
            <w:r>
              <w:rPr/>
              <w:t>Transaction with a related parties</w:t>
            </w:r>
          </w:p>
        </w:tc>
      </w:tr>
    </w:tbl>
    <w:p>
      <w:pPr>
        <w:pStyle w:val="TextBody"/>
        <w:bidi w:val="0"/>
        <w:spacing w:before="0" w:after="0"/>
        <w:ind w:left="907" w:right="0" w:hanging="0"/>
        <w:jc w:val="both"/>
        <w:rPr>
          <w:caps w:val="false"/>
          <w:smallCaps w:val="false"/>
        </w:rPr>
      </w:pPr>
      <w:r>
        <w:rPr>
          <w:caps w:val="false"/>
          <w:smallCaps w:val="false"/>
        </w:rPr>
        <w:t> </w:t>
      </w:r>
    </w:p>
    <w:tbl>
      <w:tblPr>
        <w:tblW w:w="4972" w:type="dxa"/>
        <w:jc w:val="left"/>
        <w:tblInd w:w="0" w:type="dxa"/>
        <w:tblLayout w:type="fixed"/>
        <w:tblCellMar>
          <w:top w:w="0" w:type="dxa"/>
          <w:left w:w="0" w:type="dxa"/>
          <w:bottom w:w="0" w:type="dxa"/>
          <w:right w:w="0" w:type="dxa"/>
        </w:tblCellMar>
      </w:tblPr>
      <w:tblGrid>
        <w:gridCol w:w="1445"/>
        <w:gridCol w:w="60"/>
        <w:gridCol w:w="373"/>
        <w:gridCol w:w="876"/>
        <w:gridCol w:w="149"/>
        <w:gridCol w:w="149"/>
        <w:gridCol w:w="149"/>
        <w:gridCol w:w="1696"/>
        <w:gridCol w:w="75"/>
      </w:tblGrid>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30 June</w:t>
            </w:r>
          </w:p>
        </w:tc>
        <w:tc>
          <w:tcPr>
            <w:tcW w:w="75" w:type="dxa"/>
            <w:tcBorders/>
            <w:vAlign w:val="center"/>
          </w:tcPr>
          <w:p>
            <w:pPr>
              <w:pStyle w:val="TableContents"/>
              <w:bidi w:val="0"/>
              <w:spacing w:before="0" w:after="283"/>
              <w:jc w:val="center"/>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49" w:type="dxa"/>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center"/>
              <w:rPr/>
            </w:pPr>
            <w:r>
              <w:rPr/>
              <w:t> </w:t>
            </w:r>
          </w:p>
        </w:tc>
        <w:tc>
          <w:tcPr>
            <w:tcW w:w="184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149" w:type="dxa"/>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center"/>
              <w:rPr/>
            </w:pPr>
            <w:r>
              <w:rPr/>
              <w:t> </w:t>
            </w:r>
          </w:p>
        </w:tc>
        <w:tc>
          <w:tcPr>
            <w:tcW w:w="1845"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14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49" w:type="dxa"/>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center"/>
              <w:rPr/>
            </w:pPr>
            <w:r>
              <w:rPr/>
              <w:t> </w:t>
            </w:r>
          </w:p>
        </w:tc>
        <w:tc>
          <w:tcPr>
            <w:tcW w:w="1845"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center"/>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6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283"/>
              <w:jc w:val="left"/>
              <w:rPr/>
            </w:pPr>
            <w:r>
              <w:rPr/>
              <w:t>Dr. Zhai Yifan</w:t>
            </w:r>
          </w:p>
        </w:tc>
        <w:tc>
          <w:tcPr>
            <w:tcW w:w="60" w:type="dxa"/>
            <w:tcBorders/>
            <w:shd w:fill="CCEEFF" w:val="clear"/>
            <w:vAlign w:val="center"/>
          </w:tcPr>
          <w:p>
            <w:pPr>
              <w:pStyle w:val="TableContents"/>
              <w:bidi w:val="0"/>
              <w:spacing w:before="0" w:after="283"/>
              <w:jc w:val="left"/>
              <w:rPr/>
            </w:pPr>
            <w:r>
              <w:rPr/>
              <w:t> </w:t>
            </w:r>
          </w:p>
        </w:tc>
        <w:tc>
          <w:tcPr>
            <w:tcW w:w="3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96" w:type="dxa"/>
            <w:tcBorders>
              <w:bottom w:val="single" w:sz="12" w:space="0" w:color="000000"/>
            </w:tcBorders>
            <w:shd w:fill="CCEEFF" w:val="clear"/>
            <w:tcMar>
              <w:bottom w:w="28" w:type="dxa"/>
            </w:tcMar>
            <w:vAlign w:val="center"/>
          </w:tcPr>
          <w:p>
            <w:pPr>
              <w:pStyle w:val="TableContents"/>
              <w:bidi w:val="0"/>
              <w:spacing w:before="0" w:after="283"/>
              <w:jc w:val="right"/>
              <w:rPr/>
            </w:pPr>
            <w:r>
              <w:rPr/>
              <w:t>29,322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0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Healthquest Pharma Acquisition Agreement between Ascentage and Dr. Zhai, no contingent consideration payable to Dr. Zhai occurred and no consideration was paid to Dr. Zhai during this period.</w:t>
      </w:r>
    </w:p>
    <w:p>
      <w:pPr>
        <w:pStyle w:val="TextBody"/>
        <w:bidi w:val="0"/>
        <w:spacing w:before="0" w:after="0"/>
        <w:ind w:left="360" w:right="0" w:hanging="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29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980" w:type="dxa"/>
            <w:tcBorders/>
            <w:vAlign w:val="center"/>
          </w:tcPr>
          <w:p>
            <w:pPr>
              <w:pStyle w:val="TableContents"/>
              <w:bidi w:val="0"/>
              <w:spacing w:before="0" w:after="283"/>
              <w:jc w:val="both"/>
              <w:rPr/>
            </w:pPr>
            <w:r>
              <w:rPr/>
              <w:t>Outstanding balance with a related parties</w:t>
            </w:r>
          </w:p>
        </w:tc>
      </w:tr>
    </w:tbl>
    <w:p>
      <w:pPr>
        <w:pStyle w:val="TextBody"/>
        <w:bidi w:val="0"/>
        <w:spacing w:before="0" w:after="0"/>
        <w:ind w:left="907" w:right="0" w:hanging="0"/>
        <w:jc w:val="both"/>
        <w:rPr>
          <w:caps w:val="false"/>
          <w:smallCaps w:val="false"/>
        </w:rPr>
      </w:pPr>
      <w:r>
        <w:rPr>
          <w:caps w:val="false"/>
          <w:smallCaps w:val="false"/>
        </w:rPr>
        <w:t> </w:t>
      </w:r>
    </w:p>
    <w:tbl>
      <w:tblPr>
        <w:tblW w:w="5489" w:type="dxa"/>
        <w:jc w:val="left"/>
        <w:tblInd w:w="0" w:type="dxa"/>
        <w:tblLayout w:type="fixed"/>
        <w:tblCellMar>
          <w:top w:w="0" w:type="dxa"/>
          <w:left w:w="0" w:type="dxa"/>
          <w:bottom w:w="0" w:type="dxa"/>
          <w:right w:w="0" w:type="dxa"/>
        </w:tblCellMar>
      </w:tblPr>
      <w:tblGrid>
        <w:gridCol w:w="2690"/>
        <w:gridCol w:w="60"/>
        <w:gridCol w:w="101"/>
        <w:gridCol w:w="1148"/>
        <w:gridCol w:w="60"/>
        <w:gridCol w:w="60"/>
        <w:gridCol w:w="105"/>
        <w:gridCol w:w="1190"/>
        <w:gridCol w:w="75"/>
      </w:tblGrid>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pPr>
            <w:r>
              <w:rPr/>
              <w:t>31 December</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center"/>
              <w:rPr/>
            </w:pPr>
            <w:r>
              <w:rPr/>
              <w:t> </w:t>
            </w:r>
          </w:p>
        </w:tc>
      </w:tr>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90" w:type="dxa"/>
            <w:tcBorders/>
            <w:shd w:fill="CCEEFF" w:val="clear"/>
            <w:vAlign w:val="center"/>
          </w:tcPr>
          <w:p>
            <w:pPr>
              <w:pStyle w:val="TableContents"/>
              <w:bidi w:val="0"/>
              <w:spacing w:before="0" w:after="283"/>
              <w:jc w:val="left"/>
              <w:rPr/>
            </w:pPr>
            <w:r>
              <w:rPr/>
              <w:t>Other payables and accruals</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b/>
              </w:rPr>
            </w:pPr>
            <w:r>
              <w:rPr>
                <w:b/>
              </w:rPr>
              <w:t>10,319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10,308</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6,374</w:t>
            </w:r>
          </w:p>
        </w:tc>
        <w:tc>
          <w:tcPr>
            <w:tcW w:w="75"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Total for Dr. Zhai Yifan</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FFFFFF" w:val="clear"/>
            <w:tcMar>
              <w:bottom w:w="28" w:type="dxa"/>
            </w:tcMar>
            <w:vAlign w:val="center"/>
          </w:tcPr>
          <w:p>
            <w:pPr>
              <w:pStyle w:val="TableContents"/>
              <w:bidi w:val="0"/>
              <w:spacing w:before="0" w:after="283"/>
              <w:jc w:val="right"/>
              <w:rPr/>
            </w:pPr>
            <w:r>
              <w:rPr/>
              <w:t>16,682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acquisition agreement, payable due to Dr. Zhai Yifan represents the contingent consideration related to the acquisition of Guangzhou Healthquest Pharma Co., Ltd.</w:t>
      </w:r>
    </w:p>
    <w:p>
      <w:pPr>
        <w:pStyle w:val="TextBody"/>
        <w:bidi w:val="0"/>
        <w:spacing w:before="0" w:after="0"/>
        <w:ind w:left="907"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38"/>
        <w:gridCol w:w="32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5015" w:type="dxa"/>
            <w:tcBorders/>
            <w:vAlign w:val="center"/>
          </w:tcPr>
          <w:p>
            <w:pPr>
              <w:pStyle w:val="TableContents"/>
              <w:bidi w:val="0"/>
              <w:spacing w:before="0" w:after="283"/>
              <w:jc w:val="both"/>
              <w:rPr/>
            </w:pPr>
            <w:r>
              <w:rPr/>
              <w:t xml:space="preserve">RELATED PARTY TRANSACTIONS </w:t>
            </w:r>
            <w:r>
              <w:rPr>
                <w:sz w:val="20"/>
              </w:rPr>
              <w:t>(Continued)</w:t>
            </w:r>
          </w:p>
        </w:tc>
      </w:tr>
    </w:tbl>
    <w:p>
      <w:pPr>
        <w:pStyle w:val="TextBody"/>
        <w:bidi w:val="0"/>
        <w:spacing w:before="0" w:after="0"/>
        <w:ind w:left="0" w:right="0" w:hanging="0"/>
        <w:jc w:val="both"/>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275"/>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630" w:type="dxa"/>
            <w:tcBorders/>
            <w:vAlign w:val="center"/>
          </w:tcPr>
          <w:p>
            <w:pPr>
              <w:pStyle w:val="TableContents"/>
              <w:bidi w:val="0"/>
              <w:spacing w:before="0" w:after="283"/>
              <w:jc w:val="both"/>
              <w:rPr/>
            </w:pPr>
            <w:r>
              <w:rPr/>
              <w:t>Compensation of key management personnel of the Group:</w:t>
            </w:r>
          </w:p>
        </w:tc>
      </w:tr>
    </w:tbl>
    <w:p>
      <w:pPr>
        <w:pStyle w:val="TextBody"/>
        <w:bidi w:val="0"/>
        <w:spacing w:before="0" w:after="0"/>
        <w:ind w:left="907" w:right="0" w:hanging="0"/>
        <w:jc w:val="both"/>
        <w:rPr>
          <w:caps w:val="false"/>
          <w:smallCaps w:val="false"/>
        </w:rPr>
      </w:pPr>
      <w:r>
        <w:rPr>
          <w:caps w:val="false"/>
          <w:smallCaps w:val="false"/>
        </w:rPr>
        <w:t> </w:t>
      </w:r>
    </w:p>
    <w:tbl>
      <w:tblPr>
        <w:tblW w:w="8010" w:type="dxa"/>
        <w:jc w:val="left"/>
        <w:tblInd w:w="0" w:type="dxa"/>
        <w:tblLayout w:type="fixed"/>
        <w:tblCellMar>
          <w:top w:w="0" w:type="dxa"/>
          <w:left w:w="0" w:type="dxa"/>
          <w:bottom w:w="0" w:type="dxa"/>
          <w:right w:w="0" w:type="dxa"/>
        </w:tblCellMar>
      </w:tblPr>
      <w:tblGrid>
        <w:gridCol w:w="5240"/>
        <w:gridCol w:w="60"/>
        <w:gridCol w:w="100"/>
        <w:gridCol w:w="1149"/>
        <w:gridCol w:w="96"/>
        <w:gridCol w:w="96"/>
        <w:gridCol w:w="96"/>
        <w:gridCol w:w="1098"/>
        <w:gridCol w:w="75"/>
      </w:tblGrid>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30 June</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Short term employee benefits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49" w:type="dxa"/>
            <w:tcBorders/>
            <w:shd w:fill="CCEEFF" w:val="clear"/>
            <w:vAlign w:val="center"/>
          </w:tcPr>
          <w:p>
            <w:pPr>
              <w:pStyle w:val="TableContents"/>
              <w:bidi w:val="0"/>
              <w:spacing w:before="0" w:after="283"/>
              <w:jc w:val="right"/>
              <w:rPr>
                <w:b/>
              </w:rPr>
            </w:pPr>
            <w:r>
              <w:rPr>
                <w:b/>
              </w:rPr>
              <w:t>14,936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13,980</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Equity-settled share-based payment expenses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b/>
              </w:rPr>
            </w:pPr>
            <w:r>
              <w:rPr>
                <w:b/>
              </w:rPr>
              <w:t>7,484</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168</w:t>
            </w:r>
          </w:p>
        </w:tc>
        <w:tc>
          <w:tcPr>
            <w:tcW w:w="75"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Post-employment benefits</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left"/>
              <w:rPr/>
            </w:pPr>
            <w:r>
              <w:rPr/>
              <w:t>Total compensation paid to key management personnel</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22,966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14,825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32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8630" w:type="dxa"/>
            <w:tcBorders/>
            <w:vAlign w:val="center"/>
          </w:tcPr>
          <w:p>
            <w:pPr>
              <w:pStyle w:val="TableContents"/>
              <w:bidi w:val="0"/>
              <w:spacing w:before="0" w:after="283"/>
              <w:jc w:val="both"/>
              <w:rPr/>
            </w:pPr>
            <w:r>
              <w:rPr/>
              <w:t>FAIR VALUE AND FAIR VALUE HIERARCHY OF FINANCIAL INSTRUMENTS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Group’s financial instruments, other than those with carrying amounts that reasonably approximate to fair values, are as follows:</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3"/>
        <w:gridCol w:w="60"/>
        <w:gridCol w:w="83"/>
        <w:gridCol w:w="1126"/>
        <w:gridCol w:w="60"/>
        <w:gridCol w:w="60"/>
        <w:gridCol w:w="78"/>
        <w:gridCol w:w="1058"/>
        <w:gridCol w:w="60"/>
        <w:gridCol w:w="60"/>
        <w:gridCol w:w="83"/>
        <w:gridCol w:w="1126"/>
        <w:gridCol w:w="60"/>
        <w:gridCol w:w="60"/>
        <w:gridCol w:w="78"/>
        <w:gridCol w:w="1058"/>
        <w:gridCol w:w="82"/>
      </w:tblGrid>
      <w:tr>
        <w:trPr/>
        <w:tc>
          <w:tcPr>
            <w:tcW w:w="5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Carrying 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Fair values</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31 December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30 June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31 December</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RMB’000</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center"/>
              <w:rPr/>
            </w:pPr>
            <w:r>
              <w:rPr/>
              <w:t>(Audited)</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283"/>
              <w:jc w:val="left"/>
              <w:rPr>
                <w:b/>
              </w:rPr>
            </w:pPr>
            <w:r>
              <w:rPr>
                <w:b/>
              </w:rPr>
              <w:t>Financial assets</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ind w:left="0" w:right="0" w:hanging="181"/>
              <w:jc w:val="left"/>
              <w:rPr/>
            </w:pPr>
            <w:r>
              <w:rPr/>
              <w:t> </w:t>
            </w:r>
          </w:p>
        </w:tc>
      </w:tr>
      <w:tr>
        <w:trPr/>
        <w:tc>
          <w:tcPr>
            <w:tcW w:w="5013"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rPr>
            </w:pPr>
            <w:r>
              <w:rPr>
                <w:b/>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rPr>
            </w:pPr>
            <w:r>
              <w:rPr>
                <w:b/>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4,000</w:t>
            </w:r>
          </w:p>
        </w:tc>
        <w:tc>
          <w:tcPr>
            <w:tcW w:w="82" w:type="dxa"/>
            <w:tcBorders/>
            <w:shd w:fill="CCEEFF" w:val="clear"/>
            <w:vAlign w:val="center"/>
          </w:tcPr>
          <w:p>
            <w:pPr>
              <w:pStyle w:val="TableContents"/>
              <w:bidi w:val="0"/>
              <w:spacing w:before="0" w:after="283"/>
              <w:ind w:left="0" w:right="0" w:hanging="181"/>
              <w:jc w:val="left"/>
              <w:rPr/>
            </w:pPr>
            <w:r>
              <w:rPr/>
              <w:t> </w:t>
            </w:r>
          </w:p>
        </w:tc>
      </w:tr>
      <w:tr>
        <w:trPr/>
        <w:tc>
          <w:tcPr>
            <w:tcW w:w="5013" w:type="dxa"/>
            <w:tcBorders/>
            <w:shd w:fill="FFFFFF" w:val="clear"/>
            <w:vAlign w:val="center"/>
          </w:tcPr>
          <w:p>
            <w:pPr>
              <w:pStyle w:val="TableContents"/>
              <w:bidi w:val="0"/>
              <w:spacing w:before="0" w:after="283"/>
              <w:jc w:val="left"/>
              <w:rPr/>
            </w:pPr>
            <w:r>
              <w:rPr/>
              <w:t>Financial assets included in other non-current assets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624</w:t>
            </w:r>
          </w:p>
        </w:tc>
        <w:tc>
          <w:tcPr>
            <w:tcW w:w="82" w:type="dxa"/>
            <w:tcBorders/>
            <w:shd w:fill="FFFFFF" w:val="clear"/>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1"/>
              <w:jc w:val="left"/>
              <w:rPr/>
            </w:pPr>
            <w:r>
              <w:rPr/>
              <w:t> </w:t>
            </w:r>
          </w:p>
        </w:tc>
      </w:tr>
      <w:tr>
        <w:trPr/>
        <w:tc>
          <w:tcPr>
            <w:tcW w:w="5013"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4,690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4,624</w:t>
            </w:r>
          </w:p>
        </w:tc>
        <w:tc>
          <w:tcPr>
            <w:tcW w:w="82" w:type="dxa"/>
            <w:tcBorders/>
            <w:shd w:fill="FFFFFF" w:val="clear"/>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1"/>
              <w:jc w:val="left"/>
              <w:rPr/>
            </w:pPr>
            <w:r>
              <w:rPr/>
              <w:t> </w:t>
            </w:r>
          </w:p>
        </w:tc>
      </w:tr>
      <w:tr>
        <w:trPr/>
        <w:tc>
          <w:tcPr>
            <w:tcW w:w="5013" w:type="dxa"/>
            <w:tcBorders/>
            <w:shd w:fill="FFFFFF" w:val="clear"/>
            <w:vAlign w:val="center"/>
          </w:tcPr>
          <w:p>
            <w:pPr>
              <w:pStyle w:val="TableContents"/>
              <w:bidi w:val="0"/>
              <w:spacing w:before="0" w:after="283"/>
              <w:jc w:val="left"/>
              <w:rPr>
                <w:b/>
              </w:rPr>
            </w:pPr>
            <w:r>
              <w:rPr>
                <w:b/>
              </w:rPr>
              <w:t>Financial liabilities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ind w:left="0" w:right="0" w:hanging="181"/>
              <w:jc w:val="left"/>
              <w:rPr/>
            </w:pPr>
            <w:r>
              <w:rPr/>
              <w:t> </w:t>
            </w:r>
          </w:p>
        </w:tc>
      </w:tr>
      <w:tr>
        <w:trPr/>
        <w:tc>
          <w:tcPr>
            <w:tcW w:w="5013"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rPr>
            </w:pPr>
            <w:r>
              <w:rPr>
                <w:b/>
              </w:rPr>
              <w:t>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b/>
              </w:rPr>
            </w:pPr>
            <w:r>
              <w:rPr>
                <w:b/>
              </w:rPr>
              <w:t>5,579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11,706</w:t>
            </w:r>
          </w:p>
        </w:tc>
        <w:tc>
          <w:tcPr>
            <w:tcW w:w="82" w:type="dxa"/>
            <w:tcBorders/>
            <w:shd w:fill="CCEEFF" w:val="clear"/>
            <w:vAlign w:val="center"/>
          </w:tcPr>
          <w:p>
            <w:pPr>
              <w:pStyle w:val="TableContents"/>
              <w:bidi w:val="0"/>
              <w:spacing w:before="0" w:after="283"/>
              <w:ind w:left="0" w:right="0" w:hanging="181"/>
              <w:jc w:val="left"/>
              <w:rPr/>
            </w:pPr>
            <w:r>
              <w:rPr/>
              <w:t> </w:t>
            </w:r>
          </w:p>
        </w:tc>
      </w:tr>
      <w:tr>
        <w:trPr/>
        <w:tc>
          <w:tcPr>
            <w:tcW w:w="5013" w:type="dxa"/>
            <w:tcBorders/>
            <w:shd w:fill="FFFFFF" w:val="clear"/>
            <w:vAlign w:val="center"/>
          </w:tcPr>
          <w:p>
            <w:pPr>
              <w:pStyle w:val="TableContents"/>
              <w:bidi w:val="0"/>
              <w:spacing w:before="0" w:after="283"/>
              <w:jc w:val="left"/>
              <w:rPr/>
            </w:pPr>
            <w:r>
              <w:rPr/>
              <w:t>Non-current portion of interest-bearing bank and other borrowings (other than lease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605,342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742,325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588,025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709,342</w:t>
            </w:r>
          </w:p>
        </w:tc>
        <w:tc>
          <w:tcPr>
            <w:tcW w:w="82" w:type="dxa"/>
            <w:tcBorders/>
            <w:shd w:fill="FFFFFF" w:val="clear"/>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ind w:left="0" w:right="0" w:hanging="181"/>
              <w:jc w:val="left"/>
              <w:rPr/>
            </w:pPr>
            <w:r>
              <w:rPr/>
              <w:t> </w:t>
            </w:r>
          </w:p>
        </w:tc>
      </w:tr>
      <w:tr>
        <w:trPr/>
        <w:tc>
          <w:tcPr>
            <w:tcW w:w="5013"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612,017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754,356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593,604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FFFFFF" w:val="clear"/>
            <w:tcMar>
              <w:bottom w:w="28" w:type="dxa"/>
            </w:tcMar>
            <w:vAlign w:val="center"/>
          </w:tcPr>
          <w:p>
            <w:pPr>
              <w:pStyle w:val="TableContents"/>
              <w:bidi w:val="0"/>
              <w:spacing w:before="0" w:after="283"/>
              <w:jc w:val="right"/>
              <w:rPr/>
            </w:pPr>
            <w:r>
              <w:rPr/>
              <w:t>721,048</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32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680" w:type="dxa"/>
            <w:tcBorders/>
            <w:vAlign w:val="center"/>
          </w:tcPr>
          <w:p>
            <w:pPr>
              <w:pStyle w:val="TableContents"/>
              <w:bidi w:val="0"/>
              <w:spacing w:before="0" w:after="283"/>
              <w:jc w:val="both"/>
              <w:rPr/>
            </w:pPr>
            <w:r>
              <w:rPr/>
              <w:t xml:space="preserve">FAIR VALUE AND FAIR VALUE HIERARCHY OF FINANCIAL INSTRUMENTS </w:t>
            </w:r>
            <w:r>
              <w:rPr>
                <w:sz w:val="20"/>
              </w:rPr>
              <w:t>(Continued)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that the fair values of cash and bank balances, trade receivables, financial assets included in prepayments, other receivables and other assets, trade payables, the current portion of interest-bearing bank and other borrowings, and financial liabilities included in other payables and accruals approximate to their carrying amounts largely due to the short-term maturities of these instruments, or the interest rate being approximate to the discount rate of current market.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finance department is responsible for determining the policies and procedures for the fair value measurement of financial instruments. The finance manager reports directly to the chief financial officer and the audit committee. At each reporting date, the finance department analyses the movements in the values of financial instruments and determines the major inputs applied in the valuation. The directors review the results of the fair value measurement of financial instruments periodically for annual financial reporting.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financial assets and liabilities are included at the amount at which the instrument could be exchanged in a current transaction between willing parties, other than in a forced or liquidation sale. The following methods and assumptions were used to estimate the fair values: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financial assets and liabilities included in other non-current assets, other non-current liabilities, and non-current portion of interest-bearing bank and other borrowings have been calculated by discounting the expected future cash flows using rates currently available for instruments with similar terms, credit risk and remaining maturities. The Group’s own non-performance risk for other non-current assets, other non-current liabilities, interest-bearing bank and other borrowings as at 30 June 2026 was assessed to be insignificant.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unlisted equity investments designated at fair value through profit or loss have been estimated using an asset-based valuation technique based on assumptions that are not supported by observable market prices or rates. The fair value measurement of these financial instruments may involve unobservable inputs. Fair value changes resulting from changes in the unobservable inputs were not significant.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Level 3 financial liabilities, the Group adopts the valuation techniques to determine fair value. Valuation techniques include a discounted cash flow analysis. The fair value measurement of the financial instruments may involve unobservable inputs such as discount rate and possibility of payment. The Group periodically reviews all significant unobservable inputs and valuation adjustments used to measure the fair values of financial assets in Level 3.</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32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680" w:type="dxa"/>
            <w:tcBorders/>
            <w:vAlign w:val="center"/>
          </w:tcPr>
          <w:p>
            <w:pPr>
              <w:pStyle w:val="TableContents"/>
              <w:bidi w:val="0"/>
              <w:spacing w:before="0" w:after="283"/>
              <w:jc w:val="both"/>
              <w:rPr/>
            </w:pPr>
            <w:r>
              <w:rPr/>
              <w:t xml:space="preserve">FAIR VALUE AND FAIR VALUE HIERARCHY OF FINANCIAL INSTRUMENTS </w:t>
            </w:r>
            <w:r>
              <w:rPr>
                <w:sz w:val="20"/>
              </w:rPr>
              <w:t>(Continued)</w:t>
            </w:r>
          </w:p>
        </w:tc>
      </w:tr>
    </w:tbl>
    <w:p>
      <w:pPr>
        <w:pStyle w:val="TextBody"/>
        <w:bidi w:val="0"/>
        <w:spacing w:before="0" w:after="0"/>
        <w:ind w:left="462"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hierarchy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 the fair value measurement hierarchy of the Group’s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measured at fair value</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30 June 2026</w:t>
      </w:r>
    </w:p>
    <w:p>
      <w:pPr>
        <w:pStyle w:val="TextBody"/>
        <w:bidi w:val="0"/>
        <w:spacing w:before="0" w:after="0"/>
        <w:ind w:left="360" w:right="0" w:hanging="0"/>
        <w:jc w:val="both"/>
        <w:rPr>
          <w:caps w:val="false"/>
          <w:smallCaps w:val="false"/>
        </w:rPr>
      </w:pPr>
      <w:r>
        <w:rPr>
          <w:caps w:val="false"/>
          <w:smallCaps w:val="false"/>
        </w:rPr>
        <w:t> </w:t>
      </w:r>
    </w:p>
    <w:tbl>
      <w:tblPr>
        <w:tblW w:w="8383" w:type="dxa"/>
        <w:jc w:val="left"/>
        <w:tblInd w:w="0" w:type="dxa"/>
        <w:tblLayout w:type="fixed"/>
        <w:tblCellMar>
          <w:top w:w="0" w:type="dxa"/>
          <w:left w:w="0" w:type="dxa"/>
          <w:bottom w:w="0" w:type="dxa"/>
          <w:right w:w="0" w:type="dxa"/>
        </w:tblCellMar>
      </w:tblPr>
      <w:tblGrid>
        <w:gridCol w:w="2540"/>
        <w:gridCol w:w="60"/>
        <w:gridCol w:w="1513"/>
        <w:gridCol w:w="63"/>
        <w:gridCol w:w="119"/>
        <w:gridCol w:w="1130"/>
        <w:gridCol w:w="63"/>
        <w:gridCol w:w="63"/>
        <w:gridCol w:w="133"/>
        <w:gridCol w:w="1252"/>
        <w:gridCol w:w="63"/>
        <w:gridCol w:w="60"/>
        <w:gridCol w:w="120"/>
        <w:gridCol w:w="1129"/>
        <w:gridCol w:w="75"/>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99" w:type="dxa"/>
            <w:gridSpan w:val="9"/>
            <w:tcBorders>
              <w:bottom w:val="single" w:sz="12" w:space="0" w:color="000000"/>
            </w:tcBorders>
            <w:tcMar>
              <w:bottom w:w="28" w:type="dxa"/>
            </w:tcMar>
            <w:vAlign w:val="center"/>
          </w:tcPr>
          <w:p>
            <w:pPr>
              <w:pStyle w:val="TableContents"/>
              <w:bidi w:val="0"/>
              <w:spacing w:before="0" w:after="283"/>
              <w:jc w:val="center"/>
              <w:rPr>
                <w:b/>
              </w:rPr>
            </w:pPr>
            <w:r>
              <w:rPr>
                <w:b/>
              </w:rPr>
              <w:t>Fair value measurement using</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center"/>
              <w:rPr>
                <w:b/>
              </w:rPr>
            </w:pPr>
            <w:r>
              <w:rPr>
                <w:b/>
              </w:rPr>
              <w:t>Quoted prices</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Significant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Significant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center"/>
              <w:rPr>
                <w:b/>
              </w:rPr>
            </w:pPr>
            <w:r>
              <w:rPr>
                <w:b/>
              </w:rPr>
              <w:t>in active</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observable</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unobservable</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center"/>
              <w:rPr>
                <w:b/>
              </w:rPr>
            </w:pPr>
            <w:r>
              <w:rPr>
                <w:b/>
              </w:rPr>
              <w:t>markets</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inputs</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inputs</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3"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center"/>
              <w:rPr>
                <w:b/>
              </w:rPr>
            </w:pPr>
            <w:r>
              <w:rPr>
                <w:b/>
              </w:rPr>
              <w:t>RMB’000</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RMB’000</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RMB’000</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center"/>
              <w:rPr>
                <w:b/>
              </w:rPr>
            </w:pPr>
            <w:r>
              <w:rPr>
                <w:b/>
              </w:rPr>
              <w:t>(Unaudited)</w:t>
            </w:r>
          </w:p>
        </w:tc>
        <w:tc>
          <w:tcPr>
            <w:tcW w:w="63"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(Unaudited)</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151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11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7,000</w:t>
            </w:r>
          </w:p>
        </w:tc>
        <w:tc>
          <w:tcPr>
            <w:tcW w:w="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31 December 2025</w:t>
      </w:r>
    </w:p>
    <w:p>
      <w:pPr>
        <w:pStyle w:val="TextBody"/>
        <w:bidi w:val="0"/>
        <w:spacing w:before="0" w:after="0"/>
        <w:ind w:left="360" w:right="0" w:hanging="0"/>
        <w:jc w:val="both"/>
        <w:rPr>
          <w:caps w:val="false"/>
          <w:smallCaps w:val="false"/>
        </w:rPr>
      </w:pPr>
      <w:r>
        <w:rPr>
          <w:caps w:val="false"/>
          <w:smallCaps w:val="false"/>
        </w:rPr>
        <w:t> </w:t>
      </w:r>
    </w:p>
    <w:tbl>
      <w:tblPr>
        <w:tblW w:w="7629" w:type="dxa"/>
        <w:jc w:val="left"/>
        <w:tblInd w:w="0" w:type="dxa"/>
        <w:tblLayout w:type="fixed"/>
        <w:tblCellMar>
          <w:top w:w="0" w:type="dxa"/>
          <w:left w:w="0" w:type="dxa"/>
          <w:bottom w:w="0" w:type="dxa"/>
          <w:right w:w="0" w:type="dxa"/>
        </w:tblCellMar>
      </w:tblPr>
      <w:tblGrid>
        <w:gridCol w:w="2540"/>
        <w:gridCol w:w="60"/>
        <w:gridCol w:w="1340"/>
        <w:gridCol w:w="60"/>
        <w:gridCol w:w="91"/>
        <w:gridCol w:w="949"/>
        <w:gridCol w:w="60"/>
        <w:gridCol w:w="60"/>
        <w:gridCol w:w="123"/>
        <w:gridCol w:w="1157"/>
        <w:gridCol w:w="60"/>
        <w:gridCol w:w="60"/>
        <w:gridCol w:w="95"/>
        <w:gridCol w:w="899"/>
        <w:gridCol w:w="75"/>
      </w:tblGrid>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00" w:type="dxa"/>
            <w:gridSpan w:val="9"/>
            <w:tcBorders>
              <w:bottom w:val="single" w:sz="12" w:space="0" w:color="000000"/>
            </w:tcBorders>
            <w:tcMar>
              <w:bottom w:w="28" w:type="dxa"/>
            </w:tcMar>
            <w:vAlign w:val="center"/>
          </w:tcPr>
          <w:p>
            <w:pPr>
              <w:pStyle w:val="TableContents"/>
              <w:bidi w:val="0"/>
              <w:spacing w:before="0" w:after="283"/>
              <w:jc w:val="center"/>
              <w:rPr/>
            </w:pPr>
            <w:r>
              <w:rPr/>
              <w:t>Fair value measurement using</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Quoted prices</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in active</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unobservable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markets</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inputs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inputs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pPr>
            <w:r>
              <w:rPr/>
              <w:t>Financial assets at FVTPL</w:t>
            </w:r>
          </w:p>
        </w:tc>
        <w:tc>
          <w:tcPr>
            <w:tcW w:w="60" w:type="dxa"/>
            <w:tcBorders/>
            <w:shd w:fill="CCEEFF" w:val="cle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32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680" w:type="dxa"/>
            <w:tcBorders/>
            <w:vAlign w:val="center"/>
          </w:tcPr>
          <w:p>
            <w:pPr>
              <w:pStyle w:val="TableContents"/>
              <w:bidi w:val="0"/>
              <w:spacing w:before="0" w:after="283"/>
              <w:jc w:val="both"/>
              <w:rPr/>
            </w:pPr>
            <w:r>
              <w:rPr/>
              <w:t xml:space="preserve">FAIR VALUE AND FAIR VALUE HIERARCHY OF FINANCIAL INSTRUMENTS </w:t>
            </w:r>
            <w:r>
              <w:rPr>
                <w:sz w:val="20"/>
              </w:rPr>
              <w:t>(Continued)</w:t>
            </w:r>
          </w:p>
        </w:tc>
      </w:tr>
    </w:tbl>
    <w:p>
      <w:pPr>
        <w:pStyle w:val="TextBody"/>
        <w:bidi w:val="0"/>
        <w:spacing w:before="0" w:after="0"/>
        <w:ind w:left="462"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hierarchy (Continued)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measured at fair value</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30 June 2026</w:t>
      </w:r>
    </w:p>
    <w:p>
      <w:pPr>
        <w:pStyle w:val="TextBody"/>
        <w:bidi w:val="0"/>
        <w:spacing w:before="0" w:after="0"/>
        <w:ind w:left="0" w:right="0" w:hanging="0"/>
        <w:jc w:val="both"/>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2630"/>
        <w:gridCol w:w="60"/>
        <w:gridCol w:w="1482"/>
        <w:gridCol w:w="62"/>
        <w:gridCol w:w="109"/>
        <w:gridCol w:w="1140"/>
        <w:gridCol w:w="62"/>
        <w:gridCol w:w="62"/>
        <w:gridCol w:w="133"/>
        <w:gridCol w:w="1252"/>
        <w:gridCol w:w="62"/>
        <w:gridCol w:w="60"/>
        <w:gridCol w:w="120"/>
        <w:gridCol w:w="1129"/>
        <w:gridCol w:w="75"/>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364" w:type="dxa"/>
            <w:gridSpan w:val="9"/>
            <w:tcBorders>
              <w:bottom w:val="single" w:sz="12" w:space="0" w:color="000000"/>
            </w:tcBorders>
            <w:tcMar>
              <w:bottom w:w="28" w:type="dxa"/>
            </w:tcMar>
            <w:vAlign w:val="center"/>
          </w:tcPr>
          <w:p>
            <w:pPr>
              <w:pStyle w:val="TableContents"/>
              <w:bidi w:val="0"/>
              <w:spacing w:before="0" w:after="283"/>
              <w:jc w:val="center"/>
              <w:rPr>
                <w:b/>
              </w:rPr>
            </w:pPr>
            <w:r>
              <w:rPr>
                <w:b/>
              </w:rPr>
              <w:t>Fair value measurement using</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b/>
              </w:rPr>
            </w:pPr>
            <w:r>
              <w:rPr>
                <w:b/>
              </w:rPr>
              <w:t>Quoted prices</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Significant</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Significant</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b/>
              </w:rPr>
            </w:pPr>
            <w:r>
              <w:rPr>
                <w:b/>
              </w:rPr>
              <w:t>in active</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observable</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unobservable</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b/>
              </w:rPr>
            </w:pPr>
            <w:r>
              <w:rPr>
                <w:b/>
              </w:rPr>
              <w:t>markets</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inputs</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inputs</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2"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b/>
              </w:rPr>
            </w:pPr>
            <w:r>
              <w:rPr>
                <w:b/>
              </w:rPr>
              <w:t>RMB’000</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RMB’000</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RMB’000</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b/>
              </w:rPr>
            </w:pPr>
            <w:r>
              <w:rPr>
                <w:b/>
              </w:rPr>
              <w:t>(Unaudited)</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b/>
              </w:rPr>
            </w:pPr>
            <w:r>
              <w:rPr>
                <w:b/>
              </w:rPr>
              <w:t>(Unaudited)</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8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1385"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8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6,675</w:t>
            </w:r>
          </w:p>
        </w:tc>
        <w:tc>
          <w:tcPr>
            <w:tcW w:w="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31 December 2025</w:t>
      </w:r>
    </w:p>
    <w:p>
      <w:pPr>
        <w:pStyle w:val="TextBody"/>
        <w:bidi w:val="0"/>
        <w:spacing w:before="0" w:after="0"/>
        <w:ind w:left="0" w:right="0" w:hanging="0"/>
        <w:jc w:val="both"/>
        <w:rPr>
          <w:caps w:val="false"/>
          <w:smallCaps w:val="false"/>
        </w:rPr>
      </w:pPr>
      <w:r>
        <w:rPr>
          <w:caps w:val="false"/>
          <w:smallCaps w:val="false"/>
        </w:rPr>
        <w:t> </w:t>
      </w:r>
    </w:p>
    <w:tbl>
      <w:tblPr>
        <w:tblW w:w="7719" w:type="dxa"/>
        <w:jc w:val="left"/>
        <w:tblInd w:w="0" w:type="dxa"/>
        <w:tblLayout w:type="fixed"/>
        <w:tblCellMar>
          <w:top w:w="0" w:type="dxa"/>
          <w:left w:w="0" w:type="dxa"/>
          <w:bottom w:w="0" w:type="dxa"/>
          <w:right w:w="0" w:type="dxa"/>
        </w:tblCellMar>
      </w:tblPr>
      <w:tblGrid>
        <w:gridCol w:w="2630"/>
        <w:gridCol w:w="60"/>
        <w:gridCol w:w="1340"/>
        <w:gridCol w:w="60"/>
        <w:gridCol w:w="91"/>
        <w:gridCol w:w="949"/>
        <w:gridCol w:w="60"/>
        <w:gridCol w:w="60"/>
        <w:gridCol w:w="123"/>
        <w:gridCol w:w="1157"/>
        <w:gridCol w:w="60"/>
        <w:gridCol w:w="60"/>
        <w:gridCol w:w="95"/>
        <w:gridCol w:w="899"/>
        <w:gridCol w:w="75"/>
      </w:tblGrid>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00" w:type="dxa"/>
            <w:gridSpan w:val="9"/>
            <w:tcBorders>
              <w:bottom w:val="single" w:sz="12" w:space="0" w:color="000000"/>
            </w:tcBorders>
            <w:tcMar>
              <w:bottom w:w="28" w:type="dxa"/>
            </w:tcMar>
            <w:vAlign w:val="center"/>
          </w:tcPr>
          <w:p>
            <w:pPr>
              <w:pStyle w:val="TableContents"/>
              <w:bidi w:val="0"/>
              <w:spacing w:before="0" w:after="283"/>
              <w:jc w:val="center"/>
              <w:rPr/>
            </w:pPr>
            <w:r>
              <w:rPr/>
              <w:t>Fair value measurement using</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Quoted prices</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Significant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in active</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unobservable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markets</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inputs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inputs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bottom w:val="single" w:sz="12"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RMB’000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RMB’000</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jc w:val="center"/>
              <w:rPr/>
            </w:pPr>
            <w:r>
              <w:rPr/>
              <w:t> </w:t>
            </w:r>
          </w:p>
        </w:tc>
      </w:tr>
      <w:tr>
        <w:trPr/>
        <w:tc>
          <w:tcPr>
            <w:tcW w:w="2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p>
        </w:tc>
      </w:tr>
      <w:tr>
        <w:trPr/>
        <w:tc>
          <w:tcPr>
            <w:tcW w:w="263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12" w:space="0" w:color="000000"/>
            </w:tcBorders>
            <w:shd w:fill="CCEEFF" w:val="clear"/>
            <w:tcMar>
              <w:bottom w:w="28" w:type="dxa"/>
            </w:tcMar>
            <w:vAlign w:val="center"/>
          </w:tcPr>
          <w:p>
            <w:pPr>
              <w:pStyle w:val="TableContents"/>
              <w:bidi w:val="0"/>
              <w:spacing w:before="0" w:after="283"/>
              <w:jc w:val="right"/>
              <w:rPr/>
            </w:pPr>
            <w:r>
              <w:rPr/>
              <w:t>6,374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6,374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there were no transfers of fair value measurements between Level 1 and Level 2 and no transfers into or out of Level 3 for both financial assets and financial liabilities for the six months ended 30 June 2026 (six months ended 30 June 2025: Nil).</w:t>
      </w:r>
    </w:p>
    <w:p>
      <w:pPr>
        <w:pStyle w:val="TextBody"/>
        <w:bidi w:val="0"/>
        <w:spacing w:before="0" w:after="0"/>
        <w:ind w:left="360" w:right="0" w:hanging="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320"/>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4745" w:type="dxa"/>
            <w:tcBorders/>
            <w:vAlign w:val="center"/>
          </w:tcPr>
          <w:p>
            <w:pPr>
              <w:pStyle w:val="TableContents"/>
              <w:bidi w:val="0"/>
              <w:spacing w:before="0" w:after="283"/>
              <w:jc w:val="both"/>
              <w:rPr/>
            </w:pPr>
            <w:r>
              <w:rPr/>
              <w:t>EVENTS AFTER THE REPORTING PERIOD</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approval of these financial statements, there have been no significant events after the end of the reporting period.</w:t>
      </w:r>
    </w:p>
    <w:p>
      <w:pPr>
        <w:pStyle w:val="TextBody"/>
        <w:bidi w:val="0"/>
        <w:spacing w:before="0" w:after="0"/>
        <w:ind w:left="36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32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20.</w:t>
            </w:r>
          </w:p>
        </w:tc>
        <w:tc>
          <w:tcPr>
            <w:tcW w:w="5405" w:type="dxa"/>
            <w:tcBorders/>
            <w:vAlign w:val="center"/>
          </w:tcPr>
          <w:p>
            <w:pPr>
              <w:pStyle w:val="TableContents"/>
              <w:bidi w:val="0"/>
              <w:spacing w:before="0" w:after="283"/>
              <w:jc w:val="both"/>
              <w:rPr/>
            </w:pPr>
            <w:r>
              <w:rPr/>
              <w:t>APPROVAL OF THE FINANCIAL INFORMATION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interim condensed financial information of the Group for the six months ended 30 June 2026 and 2025 was approved and authorized for issue by the board of directors on 19 August 2026.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37344</Words>
  <Characters>199786</Characters>
  <CharactersWithSpaces>242850</CharactersWithSpaces>
  <Paragraphs>13824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