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98372-f3asr_ascentage.htm"/>
      <w:bookmarkStart w:id="1" w:name="ksea0298372f3asr_ascentage"/>
      <w:bookmarkEnd w:id="0"/>
      <w:bookmarkEnd w:id="1"/>
      <w:r>
        <w:rPr>
          <w:rFonts w:ascii="Times New Roman;Times;Serif" w:hAnsi="Times New Roman;Times;Serif"/>
          <w:b/>
          <w:i w:val="false"/>
          <w:caps w:val="false"/>
          <w:smallCaps w:val="false"/>
          <w:sz w:val="20"/>
        </w:rPr>
        <w:t>As filed with the Securities and Exchange Commission on 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i/>
          <w:caps w:val="false"/>
          <w:smallCaps w:val="false"/>
          <w:sz w:val="20"/>
        </w:rPr>
        <w:br/>
        <w:t>UNDER</w:t>
        <w:br/>
        <w:t>THE SECURITIES ACT OF 1933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495"/>
        <w:gridCol w:w="1895"/>
      </w:tblGrid>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Cayman Islands</w:t>
            </w:r>
            <w:r>
              <w:rPr>
                <w:rFonts w:ascii="Times New Roman;Times;Serif" w:hAnsi="Times New Roman;Times;Serif"/>
                <w:sz w:val="20"/>
              </w:rPr>
              <w:t> </w:t>
            </w:r>
          </w:p>
        </w:tc>
        <w:tc>
          <w:tcPr>
            <w:tcW w:w="18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Xinqing Road</w:t>
        <w:br/>
        <w:t>Suzhou Industrial Park</w:t>
        <w:br/>
        <w:t>Suzhou, Jiangsu</w:t>
        <w:br/>
        <w:t>China</w:t>
        <w:br/>
        <w:t>+1 (301) 291-5658</w:t>
        <w:br/>
      </w: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Thomas J. Knapp</w:t>
        <w:br/>
        <w:t>Ascentage Pharma Group Inc.</w:t>
        <w:br/>
        <w:t>700 King Farm Blvd, Suite 510</w:t>
        <w:br/>
        <w:t>Rockville, Maryland 20850</w:t>
        <w:br/>
        <w:t>+1 (301) 520-1026</w:t>
        <w:br/>
        <w:t>thomas.knapp@ascentage.com</w:t>
        <w:b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Copies of all communications, including communications sent to agent for service, should be sent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075"/>
        <w:gridCol w:w="3950"/>
      </w:tblGrid>
      <w:tr>
        <w:trPr/>
        <w:tc>
          <w:tcPr>
            <w:tcW w:w="20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Era Anagnosti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Gina H. Lee</w:t>
              <w:br/>
              <w:t>DLA Piper LLP (US)</w:t>
              <w:br/>
              <w:t>500 Eighth Street, NW</w:t>
              <w:br/>
              <w:t>Washington, D.C. 20004</w:t>
              <w:br/>
              <w:t>(202) 799-4000</w:t>
            </w:r>
          </w:p>
        </w:tc>
        <w:tc>
          <w:tcPr>
            <w:tcW w:w="3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Xuelin (Steve) Wang, Esq. </w:t>
              <w:br/>
              <w:t xml:space="preserve">Davis Polk &amp; Wardwell LLP </w:t>
              <w:br/>
              <w:t xml:space="preserve">c/o 18th Floor, The Hong Kong Club Building </w:t>
              <w:br/>
              <w:t xml:space="preserve">3A Chater Road, </w:t>
              <w:br/>
              <w:t xml:space="preserve">Central, Hong Kong </w:t>
              <w:br/>
              <w:t>+852-2533-3300</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of Ascentage Pharma Group International, or the Registrant, contains two prospectuses: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base prospectus which covers the offering, issuance and sale by the Registrant of American Depositary Shares (“ADSs”), each representing four ordinary shares, from time to time in one or more offerings;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sales agreement prospectus covering the offering, issuance and sale by the Registrant of up to a maximum aggregate offering price of up to $200,000,000 of ADSs of the Registrant that may be issued and sold under a sales agreement (the “Sales Agreement”), dated July 17, 2026, with Citigroup Global Markets Inc., Deutsche Bank AG, Hong Kong Branch and BTIG, LLC, as the sales agents (the “Sales Agents”).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immediately follows this explanatory note. The specific terms of any securities to be offered pursuant to the base prospectus will be specified in one or more prospectus supplements to the base prospectus. The sales agreement prospectus immediately follows the base prospectus. Upon termination of the Sales Agreement or upon suspension of sales under the sales agreement prospectus, any portion of the $200,000,000 included in the sales agreement prospectus that is not sold pursuant to the Sales Agreement will be available for sale in other offerings pursuant to the base prospectus and a corresponding prospectus supplement, and if no ADSs are sold under the Sales Agreement, the full $200,000,000 of securities may be sold in other offerings pursuant to the base prospectus and a corresponding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Shares representing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will allow us to issue, or one or more selling security holders to be identified in supplements to this prospectus to sell, from time to time at prices and on terms to be determined at or prior to the time of the offering, ordinary shares represented by American Depositary Shares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or by selling security holders to you, through agents designated from time to time or to or through underwriters or dealers, on a continuous or delayed basis. For additional information on the methods of sale, you should refer to the section 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or the selling security holders expect to receive from such sale will also be set forth in a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each representing four ordinary shares, are listed on the Nasdaq Global Market under the symbol “AAPG.” On July 16, 2026, the last reported sale price of the ADSs on the Nasdaq Global Market was $20.40 per ADS. Our ordinary shares are listed on The Stock Exchange of Hong Kong (the “HKEx”) under the stock code “6855.” On July 16, 2026, the closing price of our ordinary shares on the HKEx was HK$39.34 per ordinary share, equivalent to a price of US$20.07 per ADS, assuming an exchange rate of HK$7.84 to US$1.00, which is the exchange rate set forth for cable transfers in the City of New York, as certified by the Federal Reserve Bank of New York, on July 16, 2026. The applicable prospectus supplement will contain information, where applicable, as to any other listing, if any, on the Nasdaq Global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(“Ascentage Pharma” or the “Company”) is a holding company incorporated in the Cayman Islands. As a holding company with no material operations of our own, we conduct operations primarily through our direct and indirect wholly-owned subsidiaries in the People’s Republic of China (the “PRC”), Australia and the United States, including Suzhou Ascentage Pharmaceutical Co., Ltd, a limited liability company incorporated in the PRC, Guangzhou Healthquest Pharma Co., Ltd., a limited liability company incorporated in the PRC (“Healthquest Pharma”), Ascentage Pharma Pty Limited, a limited liability company incorporated in Australia, and Ascentage Pharma Group Inc., a corporation incorporated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in this prospectus are securities of our Cayman Islands holding company, not of our operating subsidiaries. While we do not operate in an industry that is currently subject to foreign ownership limitations in the PRC, PRC regulatory authorities could decide to limit foreign ownership in our industry in the future, in which case there could be a risk that we would be unable to do business in the PRC as we are currently structured. In such event, despite our efforts to restructure to achieve compliance with the then applicable PRC laws and regulations in order to continue our operations in the PRC, we may experience material changes in our business and results of operations, our attempts may prove to be futile due to factors beyond our control and the value of the ADSs you invest in may significantly decline or become worthless. While our current corporate structure is not a variable interest entity (“VIE”) structure and we have no intention to rely on a VIE structure in our PRC operations, if the PRC laws and regulations were to change in the future, such changes may result in adverse changes in our operations, and the ADSs may decline significantly in value. See the section titled “Risk Factors”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business and operations is conducted in the PRC through our subsidiaries and thus we are exposed to legal and operational risks associated with operations in the PRC. The PRC government has significant authority to exert influence on the ability of a company with operations in the PRC to conduct its business. The PRC government exerts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and we cannot rule out the possibility that it will in the future release regulations or policies regarding our industry that could result in a material change in our operations or the value of our securities, significantly limit or completely hinder our ability to offer or continue to offer securities to investors, or cause the value of our securities to significantly decline or become worthless. Recent policy statements and regulatory actions by the PRC government, such as those related to human genetic data, biopharmaceutical, cybersecurity, data privacy and cross-border data flows may adversely impact our ability to conduct our business and research and development activities, accept foreign investments, or list on a foreign stock exchange, which may cause our securities to be prohibited from trading or to be delisted from Nasdaq or any other U.S.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rules and regulations in China can change quickly with little advance notice. The PRC government has recently indicated an intent to exert more oversight and control over overseas securities offerings and other capital markets activities and foreign investment in China-based companies. On February 17, 2023, the China Securities Regulatory Commission (the “CSRC”) promulgated the Trial Administrative Measures of Overseas Securities Offering and Listing by Domestic Companies (the “Trial Measures”) and relevant notes and supporting guidelines, which became effective on March 31, 2023. Pursuant to the Trial Measures, PRC domestic companies that seek to offer and list securities in overseas markets, either in direct or indirect means, are required to fulfill the filing procedure with the CSRC and report relevant information. The Trial Measures provide that if the issuer meets both of the following criteria, the overseas securities offering and listing conducted by such issuer will be deemed an indirect overseas offering by a PRC domestic company: (1) 50% or more of any of the issuer’s operating revenue, total profit, total assets or net assets as documented in its audited consolidated financial statements for the most recent fiscal year is accounted for by PRC domestic companies; and (2) the main parts of the issuer’s business activities are conducted in mainland China, its main place(s) of business are located in mainland China or the majority of senior management staff in charge of its business operations and management are PRC citizens or have their usual place(s) of residence located in mainland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also state that any post-listing follow-on offering by an issuer in the same overseas market, including issuance of shares, convertible notes and other similar securities, shall be subject to the filing requirements within three business days after the completion of an offering. Therefore, any future offerings and listings of our securities in an overseas market shall be subject to the filing requirements under the CSRC Filing Rules. As such, we will be required to submit a filing to CSRC within three business days after the completion of the first sale of securities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action taken by the PRC government to exert more oversight and control over overseas securities offerings and other capital markets activities and foreign investment in China-based companies, once taken by the PRC government, could significantly limit or completely hinder our ability to offer or continue to offer securities to investors and cause the value of such securities to significantly decline, or, in extreme cases, become worthless. See the section titled “Risk factors–Risks related to doing business in the PRC” in our most recent Annual Report on Form 20-F, which is incorporated by reference in this prospectus. In addition, our ability to pay dividends partially depends upon dividends paid by our PRC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as amended by the Consolidated Appropriations Act, 2023 (the “HFCAA”), if the U.S. Securities and Exchange Commission (the “SEC”) determines that we have filed audit reports issued by a registered public accounting firm that has not been subject to inspection by the Public Company Accounting Oversight Board (the “PCAOB”) for two consecutive years, the SEC will prohibit our ordinary shares or ADSs from being traded on a national securities exchange or in the over the counter trading market in the United States. On December 16, 2021, the PCAOB issued its report notifying the SEC of its determination that it was unable to inspect or investigate completely registered public accounting firms headquartered in mainland China or Hong Kong, including our auditor who is headquartered in mainland China.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were to determine in the future that it no longer has full access to inspect and investigate completely accounting firms in mainland China and Hong Kong, and if we were to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“Risk factors–Risks related to doing business in the PRC–The PCAOB has historically been unable to inspect our auditor in relation to their audit work and the inability of the PCAOB to conduct inspections over our auditor deprives our investors of the benefits of such inspections” and “Risk factors–Risks related to doing business in the PRC–If the PCAOB is unable to inspect or investigate completely our auditors located in China because of a position taken by a foreign authority and the SEC identifies the Company as a Commission-Identified Issuer under the Holding Foreign Companies Accountable Act for two consecutive years, the ADSs will be delisted and our ordinary shares and ADSs will be prohibited from trading on a national securities exchange or in the over-the-counter market under the Holding Foreign Companies Accountable Act. The delisting of the ADSs, or the threat of their being delisted, and a prohibition from trading, may materially and adversely affect the value of our ordinary shares”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transferred among the Company and our subsidiaries in the following manner: (1) funds are transferred to the Company’s subsidiaries from the Company as needed as capital contributions or shareholder loans, as the case may be; and (2) dividends or other distributions may be paid by our subsidiaries to the Company. Our subsidiaries generate and retain cash from operating activities and re-invest in their respective business. In the future, the Company’s ability to pay dividends, if any, to its shareholders and to service any debt it may incur will partially depend upon dividends paid by PRC subsidiaries. Apart from cash transferred in connection with paid-in capital and shareholder loans, no cash or other assets have been transferred between the Company and a subsidiary, no subsidiaries (including PRC subsidiaries) paid dividends or made other distributions to the Company, and no dividends or distributions were paid or made to U.S. investors. In the future, cash proceeds raised from financing activities may be transferred by the Company through our subsidiaries via capital contributions and shareholder loans, as the case may be, and our subsidiaries may pay dividends to their respective shareholders. Payment of dividends is subject to restrictions under the PRC law. Any limitation on the ability of our PRC subsidiaries to make payments to us could have a material and adverse effect on our ability to conduct our business. For a detailed discussion of applicable PRC regulations governing distribution of dividends, see “Item 4. Information on the Company—B. Business Overview—Government regulation—PRC regulation—PRC regulations relating to dividend distribution” in our most recent Annual Report on Form 20-F, which is incorporated by reference in this prospectus. In addition, the PRC government imposes regulations on the convertibility of Renminbi into foreign currencies and the remittance of funds out of China. Governmental regulations of currency conversion may limit our ability to pay dividends and other obligations and affect the value of your investment. See “Prospectus Summary–Cash Flows through Our Organization” and our consolidated financial statements included in our most recent Annual Report on Form 20-F, which is incorporated by reference in this prospectus. We currently intend to retain most, if not all, of our available funds and any future earnings to operate and expand our business. See “Dividends and Dividend Policy”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under applicable SEC rules, we have elected to comply with certain reduced public company reporting and disclosure requirements. See “Prospectus Summary – Implications of Being an Emerging Growth Company” and “Prospectus Summary – Implications of Being a Foreign Private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deciding whether to invest in our securities, you should consider carefully the risks that we have described on page 8 of this prospectus under the caption “Risk Factors” and under the caption “Risk Factors” in our most recent Annual Report on Form 20-F incorporated by reference in this prospectus. We may also include specific risk factors in supplements to this prospectus under the caption “Risk Factors.” This prospectus may not be used to sell our securities unless accompanied by a prospectus supplement.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Owning our securities may subject you to tax consequences both in the Cayman Islands and in the United States. This prospectus and any applicable prospectus supplement may not describe these tax consequences fully. You should read the tax discussion in this prospectus and any applicable prospectus supplement. In addition, your ability to enforce civil liabilities under U.S. federal securities laws may be affected adversely by the fact that we are incorporated under the laws of the Cayman Islands, a majority of our current directors are residents of countries other than the United States, and a substantial portion of our assets and the assets of such persons are located outside the United States. See “Enforcement of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4459"/>
        <w:gridCol w:w="1964"/>
        <w:gridCol w:w="3782"/>
      </w:tblGrid>
      <w:tr>
        <w:trPr/>
        <w:tc>
          <w:tcPr>
            <w:tcW w:w="4459"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&amp;NegativeThickSpace;</w:t>
            </w:r>
          </w:p>
        </w:tc>
        <w:tc>
          <w:tcPr>
            <w:tcW w:w="378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Page </w:t>
            </w:r>
            <w:r>
              <w:rPr>
                <w:rFonts w:ascii="Times New Roman;Times;Serif" w:hAnsi="Times New Roman;Times;Serif"/>
                <w:sz w:val="20"/>
              </w:rPr>
              <w:t> </w:t>
            </w:r>
            <w:r>
              <w:rPr>
                <w:rFonts w:ascii="Times New Roman;Times;Serif" w:hAnsi="Times New Roman;Times;Serif"/>
                <w:b/>
                <w:sz w:val="20"/>
              </w:rPr>
              <w:t>&amp;NegativeThickSpace;</w:t>
            </w:r>
          </w:p>
        </w:tc>
      </w:tr>
      <w:tr>
        <w:trPr/>
        <w:tc>
          <w:tcPr>
            <w:tcW w:w="4459"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ii&amp;NegativeThickSpace; &amp;NegativeThickSpace;</w:t>
            </w:r>
          </w:p>
        </w:tc>
      </w:tr>
      <w:tr>
        <w:trPr/>
        <w:tc>
          <w:tcPr>
            <w:tcW w:w="4459"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1</w:t>
            </w:r>
          </w:p>
        </w:tc>
      </w:tr>
      <w:tr>
        <w:trPr/>
        <w:tc>
          <w:tcPr>
            <w:tcW w:w="4459"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8</w:t>
            </w:r>
          </w:p>
        </w:tc>
      </w:tr>
      <w:tr>
        <w:trPr/>
        <w:tc>
          <w:tcPr>
            <w:tcW w:w="4459"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9</w:t>
            </w:r>
          </w:p>
        </w:tc>
      </w:tr>
      <w:tr>
        <w:trPr/>
        <w:tc>
          <w:tcPr>
            <w:tcW w:w="4459"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12</w:t>
            </w:r>
          </w:p>
        </w:tc>
      </w:tr>
      <w:tr>
        <w:trPr/>
        <w:tc>
          <w:tcPr>
            <w:tcW w:w="4459"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SECURITY HOLDERS</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13</w:t>
            </w:r>
          </w:p>
        </w:tc>
      </w:tr>
      <w:tr>
        <w:trPr/>
        <w:tc>
          <w:tcPr>
            <w:tcW w:w="4459"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PLAN OF DISTRIBUTION</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14</w:t>
            </w:r>
          </w:p>
        </w:tc>
      </w:tr>
      <w:tr>
        <w:trPr/>
        <w:tc>
          <w:tcPr>
            <w:tcW w:w="4459"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SHARE CAPITAL</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15</w:t>
            </w:r>
          </w:p>
        </w:tc>
      </w:tr>
      <w:tr>
        <w:trPr/>
        <w:tc>
          <w:tcPr>
            <w:tcW w:w="4459"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AMERICAN DEPOSITARY SHARES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31</w:t>
            </w:r>
          </w:p>
        </w:tc>
      </w:tr>
      <w:tr>
        <w:trPr/>
        <w:tc>
          <w:tcPr>
            <w:tcW w:w="4459"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TAXATION</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50</w:t>
            </w:r>
          </w:p>
        </w:tc>
      </w:tr>
      <w:tr>
        <w:trPr/>
        <w:tc>
          <w:tcPr>
            <w:tcW w:w="4459"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MATERIAL CHANGES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50</w:t>
            </w:r>
          </w:p>
        </w:tc>
      </w:tr>
      <w:tr>
        <w:trPr/>
        <w:tc>
          <w:tcPr>
            <w:tcW w:w="4459"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LEGAL MATTERS</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50</w:t>
            </w:r>
          </w:p>
        </w:tc>
      </w:tr>
      <w:tr>
        <w:trPr/>
        <w:tc>
          <w:tcPr>
            <w:tcW w:w="4459"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EXPERTS</w:t>
              </w:r>
            </w:hyperlink>
          </w:p>
        </w:tc>
        <w:tc>
          <w:tcPr>
            <w:tcW w:w="19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CCEEFF" w:val="clear"/>
            <w:vAlign w:val="center"/>
          </w:tcPr>
          <w:p>
            <w:pPr>
              <w:pStyle w:val="TableContents"/>
              <w:bidi w:val="0"/>
              <w:spacing w:before="0" w:after="283"/>
              <w:jc w:val="center"/>
              <w:rPr/>
            </w:pPr>
            <w:r>
              <w:rPr/>
              <w:t>50</w:t>
            </w:r>
          </w:p>
        </w:tc>
      </w:tr>
      <w:tr>
        <w:trPr/>
        <w:tc>
          <w:tcPr>
            <w:tcW w:w="4459"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ENFORCEMENT OF CIVIL LIABILITIES</w:t>
              </w:r>
            </w:hyperlink>
          </w:p>
        </w:tc>
        <w:tc>
          <w:tcPr>
            <w:tcW w:w="19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&amp;NegativeThickSpace;</w:t>
            </w:r>
          </w:p>
        </w:tc>
        <w:tc>
          <w:tcPr>
            <w:tcW w:w="3782" w:type="dxa"/>
            <w:tcBorders/>
            <w:shd w:fill="FFFFFF" w:val="clear"/>
            <w:vAlign w:val="center"/>
          </w:tcPr>
          <w:p>
            <w:pPr>
              <w:pStyle w:val="TableContents"/>
              <w:bidi w:val="0"/>
              <w:spacing w:before="0" w:after="283"/>
              <w:jc w:val="center"/>
              <w:rPr/>
            </w:pPr>
            <w:r>
              <w:rPr/>
              <w:t>51</w:t>
            </w:r>
          </w:p>
        </w:tc>
      </w:tr>
      <w:tr>
        <w:trPr/>
        <w:tc>
          <w:tcPr>
            <w:tcW w:w="4459"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WHERE YOU CAN FIND MORE INFORMATION</w:t>
              </w:r>
            </w:hyperlink>
          </w:p>
        </w:tc>
        <w:tc>
          <w:tcPr>
            <w:tcW w:w="1964" w:type="dxa"/>
            <w:tcBorders/>
            <w:shd w:fill="CCEEFF" w:val="clear"/>
            <w:vAlign w:val="center"/>
          </w:tcPr>
          <w:p>
            <w:pPr>
              <w:pStyle w:val="TableContents"/>
              <w:bidi w:val="0"/>
              <w:spacing w:before="0" w:after="283"/>
              <w:jc w:val="left"/>
              <w:rPr/>
            </w:pPr>
            <w:r>
              <w:rPr/>
              <w:t> </w:t>
            </w:r>
          </w:p>
        </w:tc>
        <w:tc>
          <w:tcPr>
            <w:tcW w:w="3782" w:type="dxa"/>
            <w:tcBorders/>
            <w:shd w:fill="CCEEFF" w:val="clear"/>
            <w:vAlign w:val="center"/>
          </w:tcPr>
          <w:p>
            <w:pPr>
              <w:pStyle w:val="TableContents"/>
              <w:bidi w:val="0"/>
              <w:spacing w:before="0" w:after="283"/>
              <w:jc w:val="center"/>
              <w:rPr/>
            </w:pPr>
            <w:r>
              <w:rPr/>
              <w:t>53</w:t>
            </w:r>
          </w:p>
        </w:tc>
      </w:tr>
      <w:tr>
        <w:trPr/>
        <w:tc>
          <w:tcPr>
            <w:tcW w:w="4459"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INCORPORATION OF CERTAIN INFORMATION BY REFERENCE</w:t>
              </w:r>
            </w:hyperlink>
          </w:p>
        </w:tc>
        <w:tc>
          <w:tcPr>
            <w:tcW w:w="1964" w:type="dxa"/>
            <w:tcBorders/>
            <w:shd w:fill="FFFFFF" w:val="clear"/>
            <w:vAlign w:val="center"/>
          </w:tcPr>
          <w:p>
            <w:pPr>
              <w:pStyle w:val="TableContents"/>
              <w:bidi w:val="0"/>
              <w:spacing w:before="0" w:after="283"/>
              <w:jc w:val="left"/>
              <w:rPr/>
            </w:pPr>
            <w:r>
              <w:rPr/>
              <w:t> </w:t>
            </w:r>
          </w:p>
        </w:tc>
        <w:tc>
          <w:tcPr>
            <w:tcW w:w="3782" w:type="dxa"/>
            <w:tcBorders/>
            <w:shd w:fill="FFFFFF" w:val="clear"/>
            <w:vAlign w:val="center"/>
          </w:tcPr>
          <w:p>
            <w:pPr>
              <w:pStyle w:val="TableContents"/>
              <w:bidi w:val="0"/>
              <w:spacing w:before="0" w:after="283"/>
              <w:jc w:val="center"/>
              <w:rPr/>
            </w:pPr>
            <w:r>
              <w:rPr/>
              <w:t>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shelf” registration statement on Form F-3 that we filed with the SEC, as a “well-known seasoned issuer” as defined in Rule 105 under the Securities Act of 1933, as amended (the “Securities Act”) utilizing a “shelf” registration process. Under this shelf registration process, we or any selling security holder may offer ordinary shares represented by ADSs in one or more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or any selling security holder may offer. Each time we or a selling security holder sell our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Any such prospectus supplement and any related free writing prospectuses to be provided to you may include a discussion of any risk factors or other special considerations or information that apply to that offering. The prospectus supplement and any related free writing prospectus that we may authorize to be provided to you may also add, update or change the information contained in this prospectus or in any documents that we have incorporated by reference into this prospectus. You should carefully read the registration statement, including exhibits to the registration statement,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PROSPECTUS MAY NOT BE USED TO CONSUMMATE A SALE OF SECURITIES UNLESS IT IS ACCOMPANIED BY A PROSPECTUS SUPPLEMENT.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Neither we, nor any agent, underwriter or dealer take any responsibility for, or provide any assurance as to the reliability of, any other information others may give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any applicable prospectus supplement, any related free writing prospectus or any document incorporated by reference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If any statement in a document incorporated by reference is inconsistent with a statement in another document incorporated by reference having a later date, the statement in the document having the later date modified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references in this prospectus to “Ascentage Pharma,” “the Company,” “our Company,” “we,” “us” and “our” refer to Ascentage Pharma Group International and its consolidated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references to “RMB” or “Renminbi” are to the legal currency of China; references to “HK$” or “Hong Kong dollars” are to the legal currency of Hong Kong; and references to “dollars,” “U.S. dollars,” “US$” or “$” are to the legal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Reports on Form 20-F and reports on Form 6-K,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global, commercial stage, integrated biopharmaceutical company engaged in the discovery, development and commercialization of novel, differentiated therapies to address unmet medical needs in cancer. For more than two decades, our founders and team have leveraged their deep expertise to develop our proprietary drug discovery platform to pursue particularly challenging targets and significant unmet global medical needs. Our lead assets, Olverembatinib and Lisaftoclax, have global potential to address the major hematological malignancies, including chronic myeloid leukemia, or CML, acute myeloid leukemia, or AML, chronic lymphocytic leukemia, or CLL, acute lymphocytic leukemia, or ALL, myelodysplastic syndrome, or MDS, which is expected to exceed US$166 billion in aggregate market size by 2035, according to Frost &amp; Sullivan’s Global Innovative Small Molecule Drug Market Study, dated December 2024 (the “F&amp;S Report”).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first lead asset, Olverembatinib, is a novel, third-generation tyrosine kinase inhibitor, or TKI. Olverembatinib was the first BCR-ABL1 inhibitor approved in China for the treatment of patients with CML in chronic phase, or CML-CP, with T315I mutations, CML in accelerated phase, or CML-AP, with T315I mutations, and CML-CP that is resistant and/or intolerant to first and second-generation TKIs. We are currently commercializing Olverembatinib in China. All commercialized indications of Olverembatinib have been included in the National Drug Reimbursement List, or NRDL, in China beginning January 2025.</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that Olverembatinib, with its real-world patients’ data in China, where it is approved, has the potential to be a global therapy for CML. The global CML market was around US$12.3 billion in 2023 and is expected to grow to US$14.6 billion by 2035, according to the F&amp;S Report. We are currently conducting a registrational Phase 3 trial, or POLARIS-2, of Olverembatinib as a monotherapy for CML that is cleared by the U.S. Food and Drug Administration, or FDA, and European Medicines Agency or EMA. The clinical data obtained in China may not be accepted by the FDA or other foreign regulators to support ongoing or future clinical trials, and Olverembatinib is approved only in China, such that the outcome of our ongoing clinical trials is uncertain. We are also pursuing label expansion of Olverembatinib in combination with chemotherapy for the treatment of first-line Philadelphia chromosome-positive ALL, or frontline Ph+ ALL, in an FDA and EMA cleared registrational Phase 3 trial, or POLARIS-1, and conducting another registrational Phase 3 trial, or POLARIS-3 evaluating Olverembatinib as a monotherapy for succinate dehydrogenase (SDH)-deficient gastrointestinal stromal tumor, or GIST.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second lead asset, Lisaftoclax, is a novel Bcl-2 inhibitor that we are developing for the treatment of various hematological malignancies. In November 2024, we announced that our new drug application (“NDA”) for the treatment of relapsed and/or refractory, or R/R, CLL and small lymphocytic lymphoma, or SLL, was accepted with Priority Review designation by the Center of Drug Evaluation, or CDE, of China’s National Medical Products Administration, or NMPA. We believe this NDA is the second NDA filed in the world for a Bcl-2 inhibitor and the first in China for a Bcl-2 inhibitor for the treatment of patients with CLL/SLL that are resistant or intolerant to Bruton’s tyrosine kinase, or BTK, inhibitors. Lisaftoclax was approved in China by the NMPA for the treatment of adult patients with CLL/SLL who have previously received at least one systemic therapy including BTK inhibitors in July 2025. We started commercializing in China in July 2025 shortly after receiving approval. We intend to seek approval in multiple countries outside of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global CLL/SLL market was around US$9.4 billion in 2023 and is expected to grow to US$38.2 billion by 2035, according to the F&amp;S Report. We are also conducting an FDA-regulated registrational Phase 3 trial, or GLORA, of Lisaftoclax in combination with BTK inhibitors for patients with CLL/SLL previously treated with BTK inhibitors for more than 12 months with sub-optimal response and pursuing approval of Lisaftoclax for frontline CLL/SLL in a registrational Phase 3 trial, or GLORA-2, of Lisaftoclax in combination with acalabrutinib.</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that Lisaftoclax, with its short half-life and potential for patient-friendly ramp-up schedule, can serve as a backbone molecule for combination therapies for many hematological malignancies, including and beyond CLL/ SLL. Therefore, we are also evaluating Lisaftoclax in combination with azacitidine, or AZA, in two registrational Phase 3 trials, GLORA-3 (EMA and CDE cleared) and GLORA-4 (FDA, EMA and CDE cleared), for the frontline treatments of elderly, or unfit patients with AML or patients with higher risk, or HR, myelodysplastic syndrome, or MDS, respectively.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Backed by our strong scientific foundation, knowledge of small molecule discovery and capabilities to conduct clinical trials worldwide, we use state-of-the-art technologies to develop innovative therapeutic agents to treat cancers and address unmet medical needs within this patient population. Our initial focus has been to leverage our expertise in chemistry to synthesize inhibitors targeting proteins and pathways that drive the key hallmarks of cancer. Earlier in our pipeline, we are harnessing our understanding of protein degraders to develop therapies, such as proteolysis targeting chimera molecules, or PROTACs, that target traditionally undruggable proteins that are implicated in oncogenesis.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empowered by our technical expertise in structure-based drug design and our innovative drug discovery engine, which allows us to address unmet medical need by targeting key apoptotic pathways and validated tyrosine kinases. These core competencies have allowed us to develop small molecule and degrader therapies targeted at Bcl-2, Bcl-2/Bcl-xL, IAP and MDM2, in addition to building next-generation cell signaling inhibitors (i.e., BCR- ABL1, ALK, FAK inhibitors) and epigenome-modifying agents (i.e., PRC2 inhibitor). We are the only company in the world with active clinical programs targeting all three known classes of key apoptosis regulators, according to the F&amp;S Report. We have nine ongoing U.S. and/or international registrational trials, including two that are FDA-regulated, for our six key clinical-stage assets. Beyond our two lead assets, we have several other clinical-stage assets in U.S. or international clinical trials.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Leveraging our robust internal research and development capabilities, we have built a portfolio of global intellectual property rights. We have also established collaborations and other relationships with leading biotechnology and pharmaceutical companies around the world, including a collaboration and license agreement with Innovent and clinical collaboration agreements with AstraZeneca, Merck, and Pfizer, and research and development relationships with leading research institutions, including but not limited to Dana-Farber Cancer Institute, Mayo Clinic, MD Anderson Cancer Center, National Cancer Institute and the University of Michigan. As of December 31, 2025, we had 512 issued patents globally, 374 of which were issued outside of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assembled a talented, global team with experience in the research and development of innovative drugs, as well as commercial manufacturing, sales and marketing. Our success is shaped by this global team of approximately 767 employees across the United States, Europe, Australia, and China, as of December 31, 2025. Together, we are dedicated to continuously strengthening our research and development capabilities and accelerating the clinical development progress of our product pipeline with the goal of addressing the unmet medical needs of patients globally.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Ascentage Pharma Group Corp Limited, a company incorporated in Hong Kong with limited liability (“Ascentage Pharma (HK)”), was established in May 2009. Dr. Yang, Dr. Zhai, Dr. Wang and Dr. Guo, our co-founders, were the initial majority shareholders of Ascentage Pharma (HK).</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2010, Jiangsu Ascentage Pharma Co., Ltd, a limited liability company incorporated under the laws of the PRC (“Ascentage Jiangsu”), was established as a wholly-owned subsidiary of Ascentage Pharma (HK).</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Ascentage Pharma (HK) went through a series of internal restructurings and equity financings in 2015 and 2016, pursuant to which Ascentage International Limited, a limited liability company incorporated in Hong Kong (“Ascentage International”), Hongkong Sansheng Medical Limited, a company incorporated in Hong Kong with limited liability, and Shengda Taizhou Investment Centre LLP (“Shengda Taizhou)” acquired equity interests in Ascentage Jiangsu from Ascentage Pharma (HK). Shengda Taizhou held the equity interest in Ascentage Jiangsu for the benefit of Dr. Yang, Dr. Guo, Dr. Wang and Dr. Zhai.</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December 2016, Ascentage Jiangsu entered into a share transfer agreement for the acquisition of the entire equity interest of Healthquest Pharma from Dr. Zhai and Ren Jing.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November 2017, we commenced a reorganization (the “Reorganization”), consisting of the following principal steps: (i) Ascentage Pharma was incorporated as an exempted company under the laws of the Cayman Islands; (ii) Ascentage Pharma acquired all equity interests in Ascentage Pharma (HK) from Dr. Yang, Dr. Wang, Dr. Guo and Collected Mind (a BVI subsidiary of 3SBio Inc. (HKEX: 1530)), after which Ascentage Pharma (HK) became a wholly-owned subsidiary of Ascentage Pharma; and (iii) in July 2018, Ascentage Pharma acquired all equity interests in Ascentage International from each of Dr. Yang, Dr. Wang and Dr. Guo, in exchange for ordinary shares issued to Ascentage Limited (a BVI company owned by Dr. Yang (45.53%), Dr. Guo (27.69%) and Dr. Wang (26.78%), each for themselves and as settlors of their respective family trusts), based on Ascentage International’s registered capital in Ascentage Jiangsu immediately preceding the acquisition. Ascentage Limited was dissolved in December 2023.</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completion of the Reorganization, Ascentage Pharma became the top holding company of our company and its subsidiaries. Our daily operations are conducted primarily through our operating subsidiaries in mainland China, Hong Kong, the United States and Australia. Ascentage Pharma Group Corp Limited, Ascentage International Limited, Ascentage Investment International and Ascentage Investment Limited are investment holding intermediaries.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March 2026, the Board approved the transfer of ownership of Ascentage Pharma Group Inc., Ascentage Pharma Pty Ltd., and Ascentage Pharma Europe Limited from Ascentage Pharma Group Corp Ltd. to Ascentage Pharma to streamline the organizational structure, which transfer closed in July 2026..</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corporate headquarters are located at 68 Xinqing Road, Suzhou Industrial Park, Suzhou, Jiangsu, China, and our telephone number is +1 (301) 291-5658. Our agent for service of process in the United States is Ascentage Pharma Group Inc., located at 700 King Farm Boulevard, Suite 510, Rockville, MD 20850, and its telephone number is +1 (301) 291-5658. Our registered office is located at the office of Walkers Corporate Limited, with the registered address of 190 Elgin Avenue, George Town, Grand Cayman KY1-9008, Cayman Islands. Our corporate website is www.ascentage.com. The information contained on or that can be accessed through our website is not incorporated by reference into this prospectus, and you should not consider information on our website to be part of this prospectus. The SEC maintains an internet site that contains reports, proxy and information statements, and other information regarding issuers that file electronically with the SEC, such as the Company, at http://www.sec.gov.</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Cash Flows through Our Organization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is transferred among the Company and our subsidiaries in the following manner: (1) funds are transferred to the Company’s subsidiaries from the Company as needed as capital contributions or shareholder loans, as the case may be; and (2) dividends or other distributions may be paid by our subsidiaries to the Company. Our subsidiaries generate and retain cash from operating activities and re-invest in their respective business. None of our subsidiaries have made distributions to shareholders. In the future, the Company’s ability to pay dividends, if any, to its shareholders and to service any debt it may incur partially depends upon dividends paid by our subsidiaries. Apart from cash transferred in connection with paid-in capital and shareholder loans, no cash or other assets have been transferred between the Company and a subsidiary, no subsidiaries (including PRC subsidiaries) paid dividends or made other distributions to the Company, and no dividends or distributions were paid or made to U.S. investors. In the future, cash proceeds raised from financing activities may be transferred by the Company through our subsidiaries via capital contributions and shareholder loans, as the case may be, and our subsidiaries may pay dividends to their respective shareholders. Payment of dividends is subject to restrictions under the PRC law. Any limitation on the ability of our PRC subsidiaries to make payments to us could have a material and adverse effect on our ability to conduct our business. For a detailed discussion of applicable PRC regulations governing distribution of dividends, see “Item 4. Information on the Company—B. Business Overview—Government regulation—PRC regulation—PRC regulations relating to dividend distribution” in our most recent Annual Report on Form 20-F, which is incorporated by reference in this prospectus. In addition, the PRC government imposes regulations on the convertibility of Renminbi into foreign currencies and the remittance of funds out of China. Governmental regulations of currency conversion may limit our ability to pay dividends and other obligations and affect the value of your investment. We currently intend to retain most, if not all, of our available funds and any future earnings to operate and expand our business. See “Dividends and Dividend Policy”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Regulatory Permissions and Licenses for Our Operations in the PRC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business in mainland China primarily through our PRC subsidiaries. Our operations in mainland China are governed by laws and regulations of mainland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CSRC promulgated the Trial Measures and relevant notes and supporting guidelines, which became effective on March 31, 2023. Pursuant to the Trial Measures, PRC domestic companies that seek to offer and list securities in overseas markets, either in direct or indirect means, are required to fulfill the filing procedure with the CSRC and report relevant information.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The Trial Measures provide that if the issuer meets both of the following criteria, the overseas securities offering and listing conducted by such issuer will be deemed an indirect overseas offering by a PRC domestic company: (1) 50% or more of any of the issuer’s operating revenue, total profit, total assets or net assets as documented in its audited consolidated financial statements for the most recent fiscal year is accounted for by PRC domestic companies; and (2) the main parts of the issuer’s business activities are conducted in mainland China, its main place(s) of business are located in mainland China or the majority of senior management staff in charge of its business operations and management are PRC citizens or have their usual place(s) of residence located in mainland China. As advised by our PRC legal advisor, any offering under this prospectus (including any applicable prospectus supplement) will be identified as an indirect overseas issuance and listing under the Trial Measures. We are therefore subject to the approval, filing or other requirements of the CSRC in connection with any such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Trial Measures also state that any post-listing follow-on offering by an issuer in the same overseas market, including issuance of shares, convertible notes and other similar securities, shall be subject to the filing requirements within three business days after the completion of an offering. Therefore, any future offerings and listings of our securities in an overseas market shall be subject to the filing requirements under the CSRC Filing Rules. As such, we will be required to submit a filing to CSRC within three business days after the completion of any offering of securities under this prospectus (including any applicable prospectus supplement).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been closely monitoring regulatory developments in China regarding any necessary approvals from the CSRC, the Cyberspace Administration of China (the “CAC”), or other PRC regulatory authorities required for overseas listings and securities offerings. However, we cannot predict the impact of these regulations on the listing status of the ADSs and/or other securities, or on any of our future security offerings in foreign countries. For more detailed information, see “Risk factors–Risks related to doing business in the PRC–We are subject to continued approval, filing and other requirements of applicable U.S. securities laws and Nasdaq listing rules as a U.S. public company, and may be subject to further approval, filing or other requirements with PRC governmental authorities in connection with future capital-raising activities.”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(1) we do not receive or maintain any required permissions or approvals, (2) we inadvertently concluded that certain permissions or approvals have been acquired or are not required, or (3) applicable laws, regulations or interpretations thereof change and we become subject to the requirement of additional permissions or approvals in the future, we may not be able to obtain such permissions or approvals in a timely manner, or at all, and such approvals may be rescinded even if obtained. Any such circumstance could subject us to sanctions imposed by the PRC regulatory authorities, which could include fines and penalties, proceedings against us, and other forms of sanctions, and our business, financial condition and results of operations may be materially and adversely affected. For more information, see “Risk factors–Risks related to doing business in the PRC.”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Regulatory Development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6, 2021, the relevant PRC government authorities issued the Opinions on Strictly Scrutinizing on Illegal Securities Activities in Accordance with the Law. These opinions call for strengthened regulation over illegal securities activities, supervision of overseas securities offerings and listings by China-based companies, and propose to take effective measures, such as promoting the development of relevant regulatory systems, to deal with perceived risks or incidents faced by China-based overseas-listed companies.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revised Measures of Cybersecurity Review as promulgated by a total of thirteen governmental departments of the PRC, including the CAC, came into effect on February 15, 2022. The revised Measures of Cybersecurity Review stipulated that, in addition to network products and services acquired by critical information infrastructure operators, online platform operators are also subject to cybersecurity review if they carry out data processing activities that affect or may affect national security. Moreover, online platform operators listing in a foreign country with more than one million users’ personal information data must apply for a cybersecurity review with the Cybersecurity Review Office. The revised Measures of Cybersecurity Review further elaborated the factors to be considered when assessing the national security risks of the relevant activities. Since our business operation is not an operator of a network platform with personal information of over one million users, we should not be required to undergo the cybersecurity review for an offering under this prospectus (including any applicable prospectus supplement) and the listing of the ADSs under the revised Measures of Cybersecurity Review.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24, 2023, the CSRC, jointly with other relevant governmental authorities, promulgated the Provisions on Strengthening Confidentiality and Archives Management of Overseas Securities Issuance and Listing by Domestic Enterprises (the “Confidentiality and Archives Management Provisions”) which took effect on March 31, 2023. The Confidentiality and Archives Management Provisions outline obligations of issuers listed in overseas markets with operations in mainland China when they provide information involving state secrets or sensitive information to their securities service providers (such as auditors) and overseas regulators. In addition, under the Confidentiality and Archives Management Provisions, such issuers will also be required to obtain approval from the CSRC and other authorities in mainland China before accepting any investigation or inspection by overseas regulators. There are uncertainties with respect to the interpretation and implementation of Confidentiality and Archives Management Provisions.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the Holding Foreign Companies Accountable Act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HFCAA, if the SEC determines that we have filed audit reports issued by a registered public accounting firm that has not been subject to inspection by the PCAOB for two consecutive years, the SEC will prohibit our ordinary shares or ADSs from being traded on a national securities exchange or in the over the counter trading market in the United States. On December 16, 2021, the PCAOB issued its report notifying the SEC of its determination that it was unable to inspect or investigate completely registered public accounting firms headquartered in mainland China or Hong Kong, including our auditor who is headquartered in mainland China.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were to determine in the future that it no longer has full access to inspect and investigate completely accounting firms in mainland China and Hong Kong, and if we were to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“Risk factors–Risks related to doing business in the PRC–The PCAOB has historically been unable to inspect our auditor in relation to their audit work and the inability of the PCAOB to conduct inspections over our auditor deprives our investors of the benefits of such inspections” and “Risk factors–Risks related to doing business in the PRC–If the PCAOB is unable to inspect or investigate completely our auditors located in China because of a position taken by a foreign authority and the SEC identifies the Company as a Commission-Identified Issuer under the Holding Foreign Companies Accountable Act for two consecutive years, the ADSs will be delisted and our ordinary shares and ADSs will be prohibited from trading on a national securities exchange or in the over-the-counter market under the Holding Foreign Companies Accountable Act. The delisting of the ADSs, or the threat of their being delisted, and a prohibition from trading, may materially and adversely affect the value of our ordinary shares”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Certain Risks Associated with 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exempted company incorporated under the laws of the Cayman Islands that conducts most of our operations in China through our PRC subsidiaries. In addition, some our executive officers reside within China for a significant portion of the time. As a result, it may be difficult for our shareholders to effect service of process upon us or those persons inside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recognition and enforcement of foreign judgments are provided for under the PRC Civil Procedures Law. PRC courts may recognize and enforce foreign judgments in accordance with the requirements of the PRC Civil Procedures Law based either on treaties or similar arrangements between China and the jurisdiction where the judgment is made or on principles of reciprocity between jurisdictions. China does not have treaties or similar arrangements and only has limited reciprocity arrangements with the United States, the Cayman Islands or many other countries and regions that provide for the reciprocal recognition and enforcement of foreign judgments as of the date of this prospectus. Therefore, recognition and enforcement in China of judgments of a court in any of these non-PRC jurisdictions in relation to any matter not subject to a binding arbitration provision may be difficult or impossible. In addition, according to the PRC Civil Procedures Law,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See also “Risk factors–Risks related to doing business in the PRC–You may experience difficulties in effecting service of legal process, enforcing foreign judgments or bringing actions in the regions where we operate against us or our management named in this Annual Report on Form 20-F based on foreign laws”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Holding Company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Ascentage Pharma has not previously declared or paid any cash dividend or dividend in kind, and has no plan to declare or pay any dividends in the near future on its ordinary shares or the ADSs. Ascentage Pharma is a holding company with no operations of its own. Ascentage Pharma conducts its business operations through its subsidiaries, including its subsidiaries in China. If the PRC government deems that any of our business operations carried out by our Hong Kong or PRC subsidiaries were to be restricted or prohibited from foreign investment in the future, we may be required to stop our business operations in China, and we could be subject to material penalties or be forced to relinquish our interests in the affected operations. Such events could result in a material change in our operations and a material change in the value of our securities, including causing the value of such securities to significantly decline or become worthless. If we become profitable, Ascentage Pharma’s ability to pay dividends, if any, to the shareholders and ADS investors and to service any debt it may incur will come from dividends paid by its operating subsidiaries.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PRC laws and regulations, our PRC subsidiaries are subject to certain restrictions with respect to paying dividends or otherwise transferring any of their net assets offshore to Ascentage Pharma. In particular, under the current effective PRC laws and regulations, dividends may be paid only out of distributable profits upon satisfaction of relevant statutory conditions and procedures. Distributable profits are the net profit after tax as determined under PRC GAAP, less any recovery of accumulated losses and appropriations to statutory and other reserves required to be made. Each of our PRC subsidiaries is required to set aside 10% of its accumulated after-tax profits each year, if any, to fund a certain statutory reserve fund, until the aggregate amount of such fund reaches 50% of its registered capital. In addition, the PRC Enterprise Income Tax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Furthermore, the payment of current account items, including profit distributions, trade and service related foreign exchange transactions, can be made in foreign currencies without prior approval from State Administration of Foreign Exchange, or SAFE, or its local branches, provided that (i) the declaration and payment of such current account items comply with applicable PRC laws and regulations and the constitutional documents of the related company, and (ii) the remittance of dividends and other distributions out of the PRC complies with the procedures required by the relevant PRC laws and regulations relating to foreign exchange administration and withholding tax provisions, such as the overseas investment registrations by our shareholders or the ultimate shareholders of our corporate shareholders who are PRC residents. However, where RMB is to be converted into foreign currency and remitted out of the PRC to pay capital expenses, such as the repayment of loans denominated in foreign currencies, approval from or registration with competent government authorities or its authorized banks is required. The PRC government may take measures from time to time to restrict access to foreign currencies for current account or capital account transactions in accordance with the procedural requirements of PRC laws.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the auditor attestation requirements of Section 404 of the Sarbanes-Oxley Act of 2002;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choose to take advantage of some but not all of these reduced burdens. We will remain an emerging growth company until the earliest of (1) the last day of the fiscal year during which we have total annual gross revenues of at least US$1.235 billion; (2) the last day of our fiscal year following the fifth anniversary of the completion of our U.S. initial public offering; (3) the date on which we have, during the preceding three-year period, issued more than US$1.0 billion in non- convertible debt; or (4) the date on which we are deemed to be a “large accelerated filer” under the Securities Exchange Act of 1934, as amended (the “Exchange Act”), which would occur if we have been a public company for at least 12 months and the market value of the ADSs and ordinary shares that are held by non-affiliates exceeds US$700 million as of the last business day of our most recently completed second fiscal quarter.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Securities That May Be Offered</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this prospectus, we or any selling security holder may offer ADSs representing our ordinary shares, from time to time at prices and on terms to be determined by market conditions at the time of the offering. This prospectus provides you with a general description of the securities we or the selling security holder may offer. Each time we or any selling security holder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or classification;</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principal amount or aggregate offering price;</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 if applicable;</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rates and times of payment of interest or dividends, if any;</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conversion or sinking fund terms, if any;</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or other rights, if any; and</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3183" w:type="dxa"/>
        <w:jc w:val="left"/>
        <w:tblInd w:w="0" w:type="dxa"/>
        <w:tblLayout w:type="fixed"/>
        <w:tblCellMar>
          <w:top w:w="0" w:type="dxa"/>
          <w:left w:w="0" w:type="dxa"/>
          <w:bottom w:w="0" w:type="dxa"/>
          <w:right w:w="0" w:type="dxa"/>
        </w:tblCellMar>
      </w:tblPr>
      <w:tblGrid>
        <w:gridCol w:w="38"/>
        <w:gridCol w:w="17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or exercise prices, if any.</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or any selling security holder may sell the securities directly to investors or to or through agents, underwriters or dealers. We, and our agents or underwriters, reserve the right to accept or reject all or part of any proposed purchase of securities. If we or any selling security holder offer securities through agents or underwriters, we will include in the applicable prospectus supplement: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those agents or underwriters;</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fees and commissions to be paid to them;</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details regarding over-allotment options, if any; and</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tbl>
      <w:tblPr>
        <w:tblW w:w="2043" w:type="dxa"/>
        <w:jc w:val="left"/>
        <w:tblInd w:w="0" w:type="dxa"/>
        <w:tblLayout w:type="fixed"/>
        <w:tblCellMar>
          <w:top w:w="0" w:type="dxa"/>
          <w:left w:w="0" w:type="dxa"/>
          <w:bottom w:w="0" w:type="dxa"/>
          <w:right w:w="0" w:type="dxa"/>
        </w:tblCellMar>
      </w:tblPr>
      <w:tblGrid>
        <w:gridCol w:w="38"/>
        <w:gridCol w:w="17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to us.</w:t>
            </w:r>
          </w:p>
        </w:tc>
      </w:tr>
    </w:tbl>
    <w:p>
      <w:pPr>
        <w:pStyle w:val="TextBody"/>
        <w:bidi w:val="0"/>
        <w:spacing w:before="0" w:after="0"/>
        <w:ind w:left="11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This prospectus may not be used to consummate a sale of any securities unless it is accompanied by a prospectus supplement.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In addition to the other information contained in this prospectus, including the matters addressed under the heading “</w:t>
      </w:r>
      <w:r>
        <w:rPr>
          <w:rFonts w:ascii="Times New Roman;Times;Serif" w:hAnsi="Times New Roman;Times;Serif"/>
          <w:b w:val="false"/>
          <w:i/>
          <w:caps w:val="false"/>
          <w:smallCaps w:val="false"/>
          <w:sz w:val="20"/>
        </w:rPr>
        <w:t>Special Note Regarding Forward-Looking Statements</w:t>
      </w:r>
      <w:r>
        <w:rPr>
          <w:rFonts w:ascii="Times New Roman;Times;Serif" w:hAnsi="Times New Roman;Times;Serif"/>
          <w:b w:val="false"/>
          <w:i w:val="false"/>
          <w:caps w:val="false"/>
          <w:smallCaps w:val="false"/>
          <w:sz w:val="20"/>
        </w:rPr>
        <w:t>,” you should carefully review the risks and uncertainties described under the heading “Risk Factors” contained in the applicable prospectus supplement and any related free writing prospectus, and under similar headings in our Annual Report on Form 20-F for the year ended December 31, 2025,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Section 27A of the Securities Act, and Section 21E of the Exchange Act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as well as any amendments thereto, filed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pStyle w:val="TextBody"/>
        <w:bidi w:val="0"/>
        <w:spacing w:before="0" w:after="0"/>
        <w:ind w:left="0" w:right="0" w:firstLine="36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sales, manufacturing and commercialization of Olverembatinib and Lisaftoclax in China;</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clinical development, regulatory approval and commercialization of Olverembatinib and Lisaftoclax outside of China and of our other proprietary product candidates, including trial initiation, patient enrollment, trial completion, data announcements, regulatory filings, and timing thereof;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potential advantages of our products and product candidates over existing therapies or therapies currently in development and expectations regarding the status of current therapies being used or being developed that are or may be competitive to our product candidates and potential changes to standard of care, and their comparative efficacy, safety, pharmacokinetics, or PK, pharmacodynamics, or PD, bioavailability and other characteristics;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regard to our ability to create, identify, nominate, select, research and develop additional product candidates and to submit investigational new drug application, or INDs, and/or Clinical Trial Applications, or CTAs, for our pre-clinical product candidates and timing thereof;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potential advantages of our proprietary technologies over existing technology platforms, including drugs and therapies currently in development, and the prospects for our ongoing and future technology collaborations;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our industry, including competing therapies and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expand our technology platform and the potential benefits of such platform;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regard to the willingness and ability of our current and future partners and collaborators to pursue the development, approval and commercialization of our products and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product discovery, development and commercialization plans with respect to our products and product candidates and proprietary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to enter into new collaborations, including research and similar collaborations with research institutions and hospitals;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and collaborators’ ability to develop, acquire and advance product candidates into, and successfully complete, clinical trials and commercialize products that are approved;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around the potential initiation, timing and success of clinical trials initiated by third parties, including IIT, of therapies including our products and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timing, progress and results of our pre-clinical studies and clinical trials, and our research and development programs;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 for our products and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identify, and to negotiate contracts with, suitable contract manufacturing organizations, or CMOs, contract research organizations, or CROs, and the ability of such CMOs and CROs to manufacture sufficient quantities of our products and product candidates for clinical trials or commercialization in compliance with current good manufacturing practices, or cGMPs;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commercialization and market acceptance of our products and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continue to build our commercialization capabilities and to commercialize and market Olverembatinib, Lisaftoclax or other proprietary product candidates that may be approved;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of and reimbursement for our approved products in different markets;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implementation of our business model and strategic plans for our business, products, product candidates and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ability to operate our businesses without infringing the intellectual property rights and proprietary technology of third parties;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protection we and our partners are able to establish and maintain for intellectual property rights covering our products, product candidates and technologies;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analysis of potential patent infringement claims and our rights with respect to such claims, and expectations around patent coverage and effectiveness of such coverage for competitive products and product candidates;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receipt of future milestone payments, royalties and other payments from our partners, licensors and other collaborators and the expected timing of such payments;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regulatory developments, legislative actions and political conditions in the United States, China, Hong Kong and other jurisdictions, including trade policies and tariffs that may apply to products that we purchase or sell, or judicial decisions overturning or establishing new legal precedents;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in compliance with applicable laws which are complex and have different jurisdictional requirements;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8"/>
        <w:gridCol w:w="9768"/>
      </w:tblGrid>
      <w:tr>
        <w:trPr/>
        <w:tc>
          <w:tcPr>
            <w:tcW w:w="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w:t>
            </w:r>
          </w:p>
        </w:tc>
        <w:tc>
          <w:tcPr>
            <w:tcW w:w="97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manage our anticipated growth;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suitably qualified employees and key personnel, particularly for our commercialization efforts;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around increase of headcounts and operations in key geographic areas;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receipt of and terms and conditions of any required approvals, licenses or permits and the failure to renew, or the revocation of, any such approvals, licenses or permits;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future expenses, capital requirements and needs for additional financing;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 that the use of proceeds from our public and private financings and the period over which such proceeds, together with our available cash, will be sufficient to meet our operating needs;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596"/>
        <w:gridCol w:w="9477"/>
      </w:tblGrid>
      <w:tr>
        <w:trPr/>
        <w:tc>
          <w:tcPr>
            <w:tcW w:w="1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pPr>
            <w:r>
              <w:rPr/>
              <w:t>●</w:t>
            </w:r>
          </w:p>
        </w:tc>
        <w:tc>
          <w:tcPr>
            <w:tcW w:w="94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financial performance;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including those listed in this prospectus under the caption “Risk Factors.” and those listed in our Annual Report on Form 20-F for the year ended December 31, 2025, filed with the Securities and Exchange Commission.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undertake no obligation to publicly update any forward-looking statements, whether as a result of new information, future events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and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current expectations and beliefs as of any date subsequent to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to fund the commercialization of Olverembatinib and Lisaftoclax, the ongoing clinical trials for our drug candidates, for working capital and for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 We will not receive any proceeds from any sale of securities by any selling security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SECURITY HOLDERS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selling security holders, if any, will be set forth in a prospectus supplement, or in filings we make with the SEC under the Exchange Act that are specifically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security holder may offer securities under this prospectus from time to time pursuant to underwritten public offerings, “at-the-market” offerings, negotiated transactions, block trades or a combination of these methods. We or the selling security holder may sell the securities (1) through underwriters or dealers, (2) through agents, (3) directly to one or more purchasers and/or (4) through a combination of any of these methods of sale or any other method permitted by law. We or any selling security holder may distribute the securities from time to time in one or more transactions, in accordance with applicable law and regulations and existing shareholders delegations of authority, at:</w:t>
      </w:r>
    </w:p>
    <w:p>
      <w:pPr>
        <w:pStyle w:val="TextBody"/>
        <w:bidi w:val="0"/>
        <w:spacing w:before="0" w:after="0"/>
        <w:ind w:left="0" w:right="0" w:firstLine="36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 from time to time;</w:t>
            </w:r>
          </w:p>
        </w:tc>
      </w:tr>
    </w:tbl>
    <w:p>
      <w:pPr>
        <w:pStyle w:val="TextBody"/>
        <w:bidi w:val="0"/>
        <w:spacing w:before="0" w:after="0"/>
        <w:ind w:left="720" w:right="0" w:firstLine="360"/>
        <w:jc w:val="left"/>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720" w:right="0" w:firstLine="36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17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720" w:right="0" w:firstLine="36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sell securities covered by this prospectus, we will provide a prospectus supplement or supplements (and any related free writing prospectus that we may authorize to be provided to you) that will describe the method of distribution and set forth the terms and conditions of the offering of such securities, including the offering price of the securities and the proceeds to us, if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security holder may directly solicit offers to purchase the securities being offered by this prospectus. We or any selling security holder may also designate agents to solicit offers to purchase the securities from time to time. We will name in a prospectus supplement any underwriter or agent involved in the offer or sale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selling security holder utilize a dealer in the sale of the securities being offered by this prospectus, we or such selling security holder will sell the securities to the dealer, as principal. The dealer may then resell the securities to the public at varying prices to be determined by the dealer at the time of resale.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any selling security holder utilize an underwriter in the sale of the securities being offered by this prospectus, we or such selling security holder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such selling security holder, or the purchasers of the securities for whom the underwriter may act as agent, may compensate the underwriter in the form of underwriting commissions. The underwriter may sell the securities to or through dealers, and the underwriter may compensate those dealers in the form of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information regarding any compensation we or any selling security holder pay to underwriters, dealers or agents in connection with the offering of the securities, and any concessions or commissions allowed by underwriters to participating dealers. Underwriters, dealers and agents participating in the distribution of the securities may be deemed to be underwriters within the meaning of the Securities Act and any commissions received by them and any profit realized by them on resale of the securities may be deemed to be underwriting commissions. We or any selling security holder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any selling security holder, or perform other services for us or any selling security holder,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SHARE CAPITAL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description of our share capital summarizes certain provisions of our third amended and restated memorandum and articles of association. Such summaries do not purport to be complete and are subject to, and are qualified in their entirety by reference to, all of the provisions of our third amended and restated memorandum and articles of association, a copy of which has been filed as an exhibit to the registration statement of which this prospectus forms a part.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Holders of ADSs will be able to exercise their rights with respect to the ordinary shares underlying the ADSs only in accordance with the terms of the deposit agreement. See the description under the caption “American Depositary Shares.”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incorporated with limited liability and our affairs are governed by our third amended and restated memorandum and articles of association (the “A&amp;R MAA”), the Companies Act (as amended) of the Cayman Islands, or the Companies Act, and Cayman Islands common law.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A&amp;R MAA and the Companies Act, insofar as they relate to the material terms of our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 and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at the office of Walkers Corporate Limited, with the registered address of 190 Elgin Avenue, George Town, Grand Cayman KY1-9008, Cayman Islands. According to our A&amp;R MAA, the objects for which the Company is established are unrestricted and the Company shall have full power and authority to carry out any object not prohibited by any law as provided by Section 7(4) of the Companies Act (as amended)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w:t>
      </w:r>
      <w:r>
        <w:rPr>
          <w:rFonts w:ascii="Times New Roman;Times;Serif" w:hAnsi="Times New Roman;Times;Serif"/>
          <w:b w:val="false"/>
          <w:i w:val="false"/>
          <w:caps w:val="false"/>
          <w:smallCaps w:val="false"/>
          <w:sz w:val="20"/>
        </w:rPr>
        <w:t xml:space="preserve"> Our authorized share capital is US$50,000 consisting of 500,000,000 ordinary shares, par value US$0.0001 per share. As of April 1, 2026, 373,322,192 ordinary shares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The holders of our ordinary shares are entitled to such dividends as may be declared by our board of directors subject to our A&amp;R MAA and the Companies Act. In addition, our shareholders may, subject to the provisions of our A&amp;R MAA, by ordinary resolution declare a dividend, but no dividend may exceed the amount recommended by our directors. Our A&amp;R MAA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w:t>
      </w:r>
      <w:r>
        <w:rPr>
          <w:rFonts w:ascii="Times New Roman;Times;Serif" w:hAnsi="Times New Roman;Times;Serif"/>
          <w:b w:val="false"/>
          <w:i w:val="false"/>
          <w:caps w:val="false"/>
          <w:smallCaps w:val="false"/>
          <w:sz w:val="20"/>
        </w:rPr>
        <w:t>. In respect of all matters subject to a shareholders’ vote, each ordinary share is entitled to one vote for each ordinary share registered in his or her name on our register of members. Voting at any meeting of shareholders is by poll, except that the chairman of the meeting may, pursuant to the Hong Kong Listing Rules, allow a resolution to be voted by a show of hands.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two shareholders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A&amp;R MAA provide that in each financial year, we will hold a general meeting as our annual general meeting in addition to any other meeting in that year, and will specify the meeting as such in the notice calling it. We will hold the annual general meeting within six months after the end of our financial year.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one-tenth of the voting rights, on a one vote per share basis, in the share capital of the Company, in which case the directors are obliged to call such meeting and to put the resolutions so requisitioned to a vote at such meeting; however, our A&amp;R MAA do not provide our shareholders with any right to put any proposals before annual general meetings or extraordinary general meetings not called by such shareholders. Advance notice of at least 21 days is required for the convening of our annual general meeting and other general meetings shall be called by at least 14 days’ notice in writing in accordance with our A&amp;R MAA.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three quarters of the votes attaching to the ordinary shares cast by those shareholders entitled to vote who are present in person or by proxy at a general meeting. A special resolution will be required for important matters such as a change of name or making changes to our A&amp;R MAA.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 of ordinary shares</w:t>
      </w:r>
      <w:r>
        <w:rPr>
          <w:rFonts w:ascii="Times New Roman;Times;Serif" w:hAnsi="Times New Roman;Times;Serif"/>
          <w:b w:val="false"/>
          <w:i w:val="false"/>
          <w:caps w:val="false"/>
          <w:smallCaps w:val="false"/>
          <w:sz w:val="20"/>
        </w:rPr>
        <w:t>. Subject to the restrictions in our A&amp;R MAA,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at the relevant registration office or, as the case may be, the transfer office,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are free from any lien in favor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of such maximum sum as the Hong Kong Stock Exchange may determine to be payable or such lesser sum as our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Liquidation</w:t>
      </w:r>
      <w:r>
        <w:rPr>
          <w:rFonts w:ascii="Times New Roman;Times;Serif" w:hAnsi="Times New Roman;Times;Serif"/>
          <w:b w:val="false"/>
          <w:i w:val="false"/>
          <w:caps w:val="false"/>
          <w:smallCaps w:val="false"/>
          <w:sz w:val="20"/>
        </w:rPr>
        <w:t>. On a return of capital on winding up or otherwise (other than on conversion, redemption or purchase of ordinary shares or, on a winding up, with the sanction of a special resolution of our company and any other sanction required by the Companies Act and subject to any special rights, privileges or restrictions as to the distribution of available surplus assets on liquidation attached to any class or classes of shares), assets available for distribution among the holders of ordinary shares will be distributed among the holders of the ordinary shares in proportion to the paid up par value of the shares held by them. If our assets available for distribution are insufficient to repay all of the paid-up capital, the assets will be distributed so that, as nearly as may be, the losses are borne by our shareholders in proportion to the paid up par value of the shares held by them. We are an exempted company with limited liability registered under the Companies Act, and under the Companies Act, the liability of our members is limited to the amount, if any, unpaid on the shares respectively held by them. Our current third amended and restated memorandum of association contains a declaration that the liability of our members is so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Company is wound up (in whatever manner), the liquidator may, with the sanction of a special resolution and any other sanction required by the Companies Act, divide among our shareholders in specie or kind the whole or any part of the assets of our Company whether the assets shall consist of property of one kind or shall consist of properties of different kinds and the liquidator may, for such purpose, set such value as it deems fair upon any one or more class or classes of property to be divided and may determine how such division shall be carried out as amongst our shareholders. The liquidator may, with the like sanction, vest any part of the assets in trustees upon such trusts for the benefit of our shareholders as the liquidator, with the like sanction, shall think fit, but so that no shareholder shall be compelled to accept any of our ordinary shares or other assets upon which there is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Calls on ordinary shares and forfeiture of ordinary shares.</w:t>
      </w:r>
      <w:r>
        <w:rPr>
          <w:rFonts w:ascii="Times New Roman;Times;Serif" w:hAnsi="Times New Roman;Times;Serif"/>
          <w:b w:val="false"/>
          <w:i w:val="false"/>
          <w:caps w:val="false"/>
          <w:smallCaps w:val="false"/>
          <w:sz w:val="20"/>
        </w:rPr>
        <w:t xml:space="preserve"> Our board of directors may from time to time make calls upon shareholders for any amounts unpaid on their ordinary shares in a notice served to such shareholders at least 14 clear days prior to the specified time of payment. The ordinary shares that have been called upon and remain unpaid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Redemption, repurchase and surrender of ordinary shares</w:t>
      </w:r>
      <w:r>
        <w:rPr>
          <w:rFonts w:ascii="Times New Roman;Times;Serif" w:hAnsi="Times New Roman;Times;Serif"/>
          <w:b w:val="false"/>
          <w:i w:val="false"/>
          <w:caps w:val="false"/>
          <w:smallCaps w:val="false"/>
          <w:sz w:val="20"/>
        </w:rPr>
        <w:t>.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We may also repurchase any of our ordinary shares, provided that the manner and terms of such purchase have been approved by our board of directors or by ordinary resolution of our shareholders, or are otherwise authorized by our A&amp;R MAA. For example, at the annual general meeting of the shareholders held on May 10, 2024, the shareholders approved a resolution from the board of directors to repurchase no more than 10% of our total number of shares in issue as of the date of approval, valid until the 2025 annual general meeting of the shareholders. On March 27, 2025, our board of directors approved a resolution to submit for the approval of the shareholders at the 2025 annual general meeting, the extension of the resolution until the 2026 annual general meeting of the shareholders. In addition, on April 8, 2025, the Company announced the repurchase of 50,000 existing shares for the purpose of the 2022 RSU Scheme to satisfy the RSUs upon exercise.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Variations of rights of shares</w:t>
      </w:r>
      <w:r>
        <w:rPr>
          <w:rFonts w:ascii="Times New Roman;Times;Serif" w:hAnsi="Times New Roman;Times;Serif"/>
          <w:b w:val="false"/>
          <w:i w:val="false"/>
          <w:caps w:val="false"/>
          <w:smallCaps w:val="false"/>
          <w:sz w:val="20"/>
        </w:rPr>
        <w:t>. If at any time our share capital is divided into different classes or series of shares, the rights attached to any class or series of shares (unless otherwise provided by the terms of issue of the shares of that class or series), whether or not our company is being wound- up, may be varied with the consent in writing of three fourths of the voting rights of the holders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Inspection of books and records</w:t>
      </w:r>
      <w:r>
        <w:rPr>
          <w:rFonts w:ascii="Times New Roman;Times;Serif" w:hAnsi="Times New Roman;Times;Serif"/>
          <w:b w:val="false"/>
          <w:i w:val="false"/>
          <w:caps w:val="false"/>
          <w:smallCaps w:val="false"/>
          <w:sz w:val="20"/>
        </w:rPr>
        <w:t>. Holders of our ordinary shares have no general right under Cayman Islands law to inspect or obtain copies of our list of shareholders or our corporate records (other than our current memorandum and articles of association, the register of mortgages and charges and any special resolutions passed by shareholders). However, under our A&amp;R MAA, during the period when our shares are listed on the Hong Kong Stock Exchange and except when our register of shareholders is closed on terms equivalent to Section 632 of the Hong Kong Companies Ordinance, any of our shareholders may inspect during business hours any register of shareholders maintained in Hong Kong without charge and require the copies of extracts of it. Under Cayman Islands law, the names of our current directors can be obtained from a search conducted at the Registrar of Companies of the Cayman Islands. The books of account shall be kept at our headquarters or at such other place or places as our board of directors thinks fit and shall always be open to the inspection of the members of our board of directors. No shareholder (unless otherwise a member of our board of directors) or other person shall have any right of inspecting any account or book or document of our Company except as conferred by the Companies Act or ordered by a court of competent jurisdiction or authorized by our board of directors or our Company at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Issuance of additional shares</w:t>
      </w:r>
      <w:r>
        <w:rPr>
          <w:rFonts w:ascii="Times New Roman;Times;Serif" w:hAnsi="Times New Roman;Times;Serif"/>
          <w:b w:val="false"/>
          <w:i w:val="false"/>
          <w:caps w:val="false"/>
          <w:smallCaps w:val="false"/>
          <w:sz w:val="20"/>
        </w:rPr>
        <w:t>. Our A&amp;R MAA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A&amp;R MAA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36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105"/>
        <w:gridCol w:w="200"/>
        <w:gridCol w:w="2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Anti-takeover provisions.</w:t>
      </w:r>
      <w:r>
        <w:rPr>
          <w:rFonts w:ascii="Times New Roman;Times;Serif" w:hAnsi="Times New Roman;Times;Serif"/>
          <w:b w:val="false"/>
          <w:i w:val="false"/>
          <w:caps w:val="false"/>
          <w:smallCaps w:val="false"/>
          <w:sz w:val="20"/>
        </w:rPr>
        <w:t> Some provisions of our A&amp;R MAA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Exempted company</w:t>
      </w:r>
      <w:r>
        <w:rPr>
          <w:rFonts w:ascii="Times New Roman;Times;Serif" w:hAnsi="Times New Roman;Times;Serif"/>
          <w:b w:val="false"/>
          <w:i w:val="false"/>
          <w:caps w:val="false"/>
          <w:smallCaps w:val="false"/>
          <w:sz w:val="20"/>
        </w:rPr>
        <w:t>.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170"/>
        <w:gridCol w:w="7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bl>
    <w:p>
      <w:pPr>
        <w:pStyle w:val="TextBody"/>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bl>
    <w:p>
      <w:pPr>
        <w:pStyle w:val="TextBody"/>
        <w:bidi w:val="0"/>
        <w:spacing w:before="0" w:after="0"/>
        <w:ind w:left="0" w:right="0" w:hanging="0"/>
        <w:jc w:val="left"/>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7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bl>
    <w:p>
      <w:pPr>
        <w:pStyle w:val="TextBody"/>
        <w:bidi w:val="0"/>
        <w:spacing w:before="0" w:after="0"/>
        <w:ind w:left="0" w:right="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bl>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members,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and (iv) confirm whether each relevant category of shares held by a member carries voting rights under the A&amp;R MAA, and if so, whether such voting rights are conditional;</w:t>
            </w:r>
          </w:p>
        </w:tc>
      </w:tr>
    </w:tbl>
    <w:p>
      <w:pPr>
        <w:pStyle w:val="TextBody"/>
        <w:bidi w:val="0"/>
        <w:spacing w:before="0" w:after="0"/>
        <w:ind w:left="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member; and</w:t>
            </w:r>
          </w:p>
        </w:tc>
      </w:tr>
    </w:tbl>
    <w:p>
      <w:pPr>
        <w:pStyle w:val="TextBody"/>
        <w:bidi w:val="0"/>
        <w:spacing w:before="0" w:after="0"/>
        <w:ind w:left="0" w:right="0" w:hanging="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The shareholders recorded in the register of members will be deemed to have legal title to the shares set against their name.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Differences in Corporate Law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differs from laws applicable to corporations incorporated in the State of Delaware and their stockholders. Set forth below is a summary of the significant differences between the provisions of the Companies Act applicable to us and the laws applicable to companies incorporated in the State of Delaware and their stockholders.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0"/>
        <w:gridCol w:w="60"/>
        <w:gridCol w:w="3870"/>
        <w:gridCol w:w="60"/>
        <w:gridCol w:w="4835"/>
      </w:tblGrid>
      <w:tr>
        <w:trPr/>
        <w:tc>
          <w:tcPr>
            <w:tcW w:w="138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8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vAlign w:val="center"/>
          </w:tcPr>
          <w:p>
            <w:pPr>
              <w:pStyle w:val="TableContents"/>
              <w:bidi w:val="0"/>
              <w:spacing w:before="0" w:after="283"/>
              <w:jc w:val="center"/>
              <w:rPr/>
            </w:pPr>
            <w:r>
              <w:rPr/>
              <w:t> </w:t>
            </w:r>
          </w:p>
        </w:tc>
        <w:tc>
          <w:tcPr>
            <w:tcW w:w="48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r>
      <w:tr>
        <w:trPr/>
        <w:tc>
          <w:tcPr>
            <w:tcW w:w="138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Title of Organizational Documents</w:t>
            </w:r>
          </w:p>
        </w:tc>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Memorandum and Articles of Association</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w:t>
            </w:r>
          </w:p>
        </w:tc>
      </w:tr>
      <w:tr>
        <w:trPr/>
        <w:tc>
          <w:tcPr>
            <w:tcW w:w="1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left"/>
              <w:rPr/>
            </w:pPr>
            <w:r>
              <w:rPr/>
              <w:t> </w:t>
            </w:r>
          </w:p>
        </w:tc>
      </w:tr>
      <w:tr>
        <w:trPr/>
        <w:tc>
          <w:tcPr>
            <w:tcW w:w="138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Duties of Directors</w:t>
            </w:r>
          </w:p>
        </w:tc>
        <w:tc>
          <w:tcPr>
            <w:tcW w:w="60" w:type="dxa"/>
            <w:tcBorders/>
            <w:vAlign w:val="center"/>
          </w:tcPr>
          <w:p>
            <w:pPr>
              <w:pStyle w:val="TableContents"/>
              <w:bidi w:val="0"/>
              <w:spacing w:before="0" w:after="283"/>
              <w:jc w:val="left"/>
              <w:rPr/>
            </w:pPr>
            <w:r>
              <w:rPr/>
              <w:t> </w:t>
            </w:r>
          </w:p>
        </w:tc>
        <w:tc>
          <w:tcPr>
            <w:tcW w:w="38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the company and its stockholders.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stockholders.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9"/>
        <w:gridCol w:w="60"/>
        <w:gridCol w:w="2491"/>
        <w:gridCol w:w="60"/>
        <w:gridCol w:w="6405"/>
      </w:tblGrid>
      <w:tr>
        <w:trPr/>
        <w:tc>
          <w:tcPr>
            <w:tcW w:w="118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Limitations on Personal Liability of Directors and Officers</w:t>
            </w:r>
          </w:p>
        </w:tc>
        <w:tc>
          <w:tcPr>
            <w:tcW w:w="60" w:type="dxa"/>
            <w:tcBorders/>
            <w:vAlign w:val="center"/>
          </w:tcPr>
          <w:p>
            <w:pPr>
              <w:pStyle w:val="TableContents"/>
              <w:bidi w:val="0"/>
              <w:spacing w:before="0" w:after="283"/>
              <w:jc w:val="left"/>
              <w:rPr/>
            </w:pPr>
            <w:r>
              <w:rPr/>
              <w:t> </w:t>
            </w:r>
          </w:p>
        </w:tc>
        <w:tc>
          <w:tcPr>
            <w:tcW w:w="24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Companies Act has no equivalent provision to Delaware law regarding the limitation of director’s liability. However, any provision which seeks to limit the liability of directors or officers to the extent that the liability is a consequence of the director or officer’s own fraud, dishonesty or willful default is unlikely to be enforceable as a matter of common law. </w:t>
            </w:r>
          </w:p>
        </w:tc>
        <w:tc>
          <w:tcPr>
            <w:tcW w:w="60" w:type="dxa"/>
            <w:tcBorders/>
            <w:vAlign w:val="center"/>
          </w:tcPr>
          <w:p>
            <w:pPr>
              <w:pStyle w:val="TableContents"/>
              <w:bidi w:val="0"/>
              <w:spacing w:before="0" w:after="283"/>
              <w:jc w:val="left"/>
              <w:rPr/>
            </w:pPr>
            <w:r>
              <w:rPr/>
              <w:t> </w:t>
            </w:r>
          </w:p>
        </w:tc>
        <w:tc>
          <w:tcPr>
            <w:tcW w:w="6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Subject to the limitations described below, a certificate of incorporation may provide for the elimination or limitation of the personal liability of a director to the corporation or its stockholders for monetary damages for a breach of fiduciary duty as a director. Such provision cannot limit liability for breach of the fiduciary duty of loyalty, acts or omissions not in good faith or that involve intentional misconduct or a knowing violation of law, a transaction from which the director derived an improper personal benefit, unlawful payment of dividends or unlawful stock repurchase or redemption. Similarly, a certificate of incorporation may provide for the elimination or limitation of the personal liability of specified officers to the corporation or its stockholders for monetary damages for a breach of fiduciary duty as an officer. Such provision cannot limit liability for breach of loyalty, acts or omissions not in good faith or that involve intentional misconduct or a knowing violation of law, a transaction from which the officer derived an improper personal benefit, or with respect to actions by or in the right of the corporation. In addition, an exculpatory provision with terms described above cannot limit liability for any act or omission occurring prior to the date when such provision becomes effective.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3"/>
        <w:gridCol w:w="60"/>
        <w:gridCol w:w="3276"/>
        <w:gridCol w:w="60"/>
        <w:gridCol w:w="5336"/>
      </w:tblGrid>
      <w:tr>
        <w:trPr/>
        <w:tc>
          <w:tcPr>
            <w:tcW w:w="147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327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directors and officers, except to the extent any such provision may be held by the Cayman Islands Court to be contrary to public policy, such as to provide indemnification against the consequences of committing a crime, or against the indemnified person’s own fraud, dishonesty or willful default.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A&amp;R MAA provide that we will indemnify each director, managing director, alternate director, auditor, secretary and other officer of the company and the trustees (if any) for the time being acting in relation to any of our affairs, and their respective executors or administrators against all actions, costs, charges, losses, damages and expenses incurred or sustained by such person by reason of any act done, concurred in or omitted in or about the execution of their duty or supposed duty in their respective offices or trusts, other than by reason of such person’s own dishonesty or fraud. In addition, we have entered into indemnification agreements with our directors and executive officers that provide such persons with additional indemnification beyond that provided in our A&amp;R MAA.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tc>
        <w:tc>
          <w:tcPr>
            <w:tcW w:w="60" w:type="dxa"/>
            <w:tcBorders/>
            <w:vAlign w:val="center"/>
          </w:tcPr>
          <w:p>
            <w:pPr>
              <w:pStyle w:val="TableContents"/>
              <w:bidi w:val="0"/>
              <w:spacing w:before="0" w:after="283"/>
              <w:jc w:val="left"/>
              <w:rPr/>
            </w:pPr>
            <w:r>
              <w:rPr/>
              <w:t> </w:t>
            </w:r>
          </w:p>
        </w:tc>
        <w:tc>
          <w:tcPr>
            <w:tcW w:w="5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the corporation who was, is or is threatened to be made a party to an action, suit or proceeding who acted in good faith and in a manner they reasonably believed to be in or not opposed to the best interests of the corporation, and if with respect to a criminal proceeding (other than an action by or in the right of the corporation), had no reasonable cause to believe his or her conduct would be unlawful, against amounts actually and reasonably incurred. A corporation also has the power to indemnify any director, officer, employee, or agent of the corporation who was, is or is threatened to be made a party to an action or suit by or in the right of the corporation to procure a judgment in the corporation’s favor against expenses (including legal fees) actually and reasonably incurred if the person acted in good faith and in a manner the person reasonably believed to be in or not opposed to the best interests of the corporation, and only if the person is not found liable, unless a court determines the person is fairly and reasonably entitled to the indemnification.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tc>
      </w:tr>
      <w:tr>
        <w:trPr/>
        <w:tc>
          <w:tcPr>
            <w:tcW w:w="1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36" w:type="dxa"/>
            <w:tcBorders/>
            <w:vAlign w:val="center"/>
          </w:tcPr>
          <w:p>
            <w:pPr>
              <w:pStyle w:val="TableContents"/>
              <w:bidi w:val="0"/>
              <w:spacing w:before="0" w:after="283"/>
              <w:jc w:val="left"/>
              <w:rPr/>
            </w:pPr>
            <w:r>
              <w:rPr/>
              <w:t> </w:t>
            </w:r>
          </w:p>
        </w:tc>
      </w:tr>
      <w:tr>
        <w:trPr/>
        <w:tc>
          <w:tcPr>
            <w:tcW w:w="147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Interested Directors</w:t>
            </w:r>
          </w:p>
        </w:tc>
        <w:tc>
          <w:tcPr>
            <w:tcW w:w="60" w:type="dxa"/>
            <w:tcBorders/>
            <w:vAlign w:val="center"/>
          </w:tcPr>
          <w:p>
            <w:pPr>
              <w:pStyle w:val="TableContents"/>
              <w:bidi w:val="0"/>
              <w:spacing w:before="0" w:after="283"/>
              <w:jc w:val="left"/>
              <w:rPr/>
            </w:pPr>
            <w:r>
              <w:rPr/>
              <w:t> </w:t>
            </w:r>
          </w:p>
        </w:tc>
        <w:tc>
          <w:tcPr>
            <w:tcW w:w="32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our A&amp;R MAA, directors who are in any way, whether directly or indirectly, interested in a contract or proposed contract with our company must declare the nature of their interest at a meeting of the board of directors. Following such declaration, a director may, subject to article 119(d) of the A&amp;R MAA, vote in respect of any certain contract or proposed contract notwithstanding his or her interest, provided that in exercising any such vote, such director’s duties remain as described above. </w:t>
            </w:r>
          </w:p>
        </w:tc>
        <w:tc>
          <w:tcPr>
            <w:tcW w:w="60" w:type="dxa"/>
            <w:tcBorders/>
            <w:vAlign w:val="center"/>
          </w:tcPr>
          <w:p>
            <w:pPr>
              <w:pStyle w:val="TableContents"/>
              <w:bidi w:val="0"/>
              <w:spacing w:before="0" w:after="283"/>
              <w:jc w:val="left"/>
              <w:rPr/>
            </w:pPr>
            <w:r>
              <w:rPr/>
              <w:t> </w:t>
            </w:r>
          </w:p>
        </w:tc>
        <w:tc>
          <w:tcPr>
            <w:tcW w:w="5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a transaction in which a director has an interest is not void or voidable solely because of such interest or solely because such interested director is present at or participates in the meeting that authorizes the transaction if: (1) the material facts as to such interested director’s relationship or interests and as to the transaction are disclosed or are known to the board of directors or committee thereof and the board or committee in good faith authorizes the transaction by the affirmative vote of a majority of the disinterested directors, even though the disinterested directors are less than a quorum; (2) such material facts are disclosed or are known to the stockholders entitled to vote on such transaction and the transaction is specifically approved in good faith by vote of the stockholders; or (3) the transaction is fair as to the corporation as of the time it is authorized, approved or ratified by the board of directors, a committee of the board, or the stockholders. Under Delaware law, a director or officer could be held liable for any transaction in which such director or officer derived an improper personal benefit.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0"/>
        <w:gridCol w:w="60"/>
        <w:gridCol w:w="3881"/>
        <w:gridCol w:w="60"/>
        <w:gridCol w:w="5004"/>
      </w:tblGrid>
      <w:tr>
        <w:trPr/>
        <w:tc>
          <w:tcPr>
            <w:tcW w:w="120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Voting Requirements</w:t>
            </w:r>
          </w:p>
        </w:tc>
        <w:tc>
          <w:tcPr>
            <w:tcW w:w="60" w:type="dxa"/>
            <w:tcBorders/>
            <w:vAlign w:val="center"/>
          </w:tcPr>
          <w:p>
            <w:pPr>
              <w:pStyle w:val="TableContents"/>
              <w:bidi w:val="0"/>
              <w:spacing w:before="0" w:after="283"/>
              <w:jc w:val="left"/>
              <w:rPr/>
            </w:pPr>
            <w:r>
              <w:rPr/>
              <w:t> </w:t>
            </w:r>
          </w:p>
        </w:tc>
        <w:tc>
          <w:tcPr>
            <w:tcW w:w="38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majority of at least two-thirds or such higher percentage as set forth in the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articles of association can therefore tailor the definition of “ordinary resolutions” as a whole, or with respect to specific provisions. Our A&amp;R MAA provide that an ordinary resolution is a resolution (1) passed by a simple majority of such shareholders as, being entitled to do so, vote in person (or, where proxies are allowed, by proxy) at a general meeting and regard shall be had in computing a majority to the number of votes to which each shareholder is entitled or (2) approved in writing by all of the shareholders entitled to vote at a general meeting in one or more instruments each signed by one or more of the shareholders and the effective date of the resolution so adopted shall be the date on which the instrument (or the last of such instruments, if more than one) is executed.</w:t>
            </w:r>
          </w:p>
        </w:tc>
        <w:tc>
          <w:tcPr>
            <w:tcW w:w="60" w:type="dxa"/>
            <w:tcBorders/>
            <w:vAlign w:val="center"/>
          </w:tcPr>
          <w:p>
            <w:pPr>
              <w:pStyle w:val="TableContents"/>
              <w:bidi w:val="0"/>
              <w:spacing w:before="0" w:after="283"/>
              <w:jc w:val="left"/>
              <w:rPr/>
            </w:pPr>
            <w:r>
              <w:rPr/>
              <w:t> </w:t>
            </w:r>
          </w:p>
        </w:tc>
        <w:tc>
          <w:tcPr>
            <w:tcW w:w="5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each stockholder is entitled to one vote for each share of capital stock held by such stockholder as of the applicable record date, unless otherwise provided in a corporation’s certificate of incorporation. Except as otherwise provided under the Delaware General Corporation Law or by the corporation’s certificate of incorporation or bylaws, under Delaware law, all matters brought before a meeting of stockholders at which a quorum is present (other than the election of directors) require the affirmative vote of the majority of the shares present in person or represented by proxy and entitled to vote on the subject matter. Certain matters for stockholder approval, including the approval of certain merger agreements, the statutory conversion or domestication of the corporation, certain amendments to the certificate of incorporation, and the sale, lease, or exchange of all or substantially all of the corporation’s assets will require approval of the holders of a majority of the outstanding capital stock. The certificate of incorporation may also include a provision requiring supermajority approval by the directors or stockholders for any corporate action.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certain interested stockholders of publicly traded corporations may require approval by a supermajority of the non-interested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3"/>
        <w:gridCol w:w="60"/>
        <w:gridCol w:w="4063"/>
        <w:gridCol w:w="60"/>
        <w:gridCol w:w="4689"/>
      </w:tblGrid>
      <w:tr>
        <w:trPr/>
        <w:tc>
          <w:tcPr>
            <w:tcW w:w="133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Voting for Directors</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A&amp;R MAA provide that our directors may be appointed by a resolution of our board of directors to fill a casual vacancy on the board of directors or as an addition to the board of directors or by an ordinary resolution of our shareholders. </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 </w:t>
            </w:r>
          </w:p>
        </w:tc>
      </w:tr>
      <w:tr>
        <w:trPr/>
        <w:tc>
          <w:tcPr>
            <w:tcW w:w="13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left"/>
              <w:rPr/>
            </w:pPr>
            <w:r>
              <w:rPr/>
              <w:t> </w:t>
            </w:r>
          </w:p>
        </w:tc>
      </w:tr>
      <w:tr>
        <w:trPr/>
        <w:tc>
          <w:tcPr>
            <w:tcW w:w="133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Cumulative Voting</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laws of the Cayman Islands.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A&amp;R MAA do not provide for cumulative voting on the election of the directors as described above.</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 cumulative voting for the election of directors unless provided for in the certificate of incorporation.</w:t>
            </w:r>
          </w:p>
        </w:tc>
      </w:tr>
      <w:tr>
        <w:trPr/>
        <w:tc>
          <w:tcPr>
            <w:tcW w:w="13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left"/>
              <w:rPr/>
            </w:pPr>
            <w:r>
              <w:rPr/>
              <w:t> </w:t>
            </w:r>
          </w:p>
        </w:tc>
      </w:tr>
      <w:tr>
        <w:trPr/>
        <w:tc>
          <w:tcPr>
            <w:tcW w:w="133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Directors’ Powers Regarding Bylaws</w:t>
            </w:r>
          </w:p>
        </w:tc>
        <w:tc>
          <w:tcPr>
            <w:tcW w:w="60" w:type="dxa"/>
            <w:tcBorders/>
            <w:vAlign w:val="center"/>
          </w:tcPr>
          <w:p>
            <w:pPr>
              <w:pStyle w:val="TableContents"/>
              <w:bidi w:val="0"/>
              <w:spacing w:before="0" w:after="283"/>
              <w:jc w:val="left"/>
              <w:rPr/>
            </w:pPr>
            <w:r>
              <w:rPr/>
              <w:t> </w:t>
            </w:r>
          </w:p>
        </w:tc>
        <w:tc>
          <w:tcPr>
            <w:tcW w:w="40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A&amp;R MAA may only be amended by a special resolution of the shareholders of our company. </w:t>
            </w:r>
          </w:p>
        </w:tc>
        <w:tc>
          <w:tcPr>
            <w:tcW w:w="60" w:type="dxa"/>
            <w:tcBorders/>
            <w:vAlign w:val="center"/>
          </w:tcPr>
          <w:p>
            <w:pPr>
              <w:pStyle w:val="TableContents"/>
              <w:bidi w:val="0"/>
              <w:spacing w:before="0" w:after="283"/>
              <w:jc w:val="left"/>
              <w:rPr/>
            </w:pPr>
            <w:r>
              <w:rPr/>
              <w:t> </w:t>
            </w:r>
          </w:p>
        </w:tc>
        <w:tc>
          <w:tcPr>
            <w:tcW w:w="46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certificate of incorporation may grant the directors the power to adopt, amend or repeal bylaws.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1"/>
        <w:gridCol w:w="60"/>
        <w:gridCol w:w="5837"/>
        <w:gridCol w:w="60"/>
        <w:gridCol w:w="2967"/>
      </w:tblGrid>
      <w:tr>
        <w:trPr/>
        <w:tc>
          <w:tcPr>
            <w:tcW w:w="128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83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articles of association. Our A&amp;R MAA provide that our shareholders may by ordinary resolution remove any of our director (including a managing director or other executive director) before the expiration of his or her term of office notwithstanding anything in our A&amp;R MAA or in any agreement between our Company and such director (but without prejudice to any claim which such director may have for damages for any breach of any contract between him/her and our Company) and may by ordinary resolution elect another person in his or her stead. At each annual general meeting one-third of our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A retiring Director shall be eligible for re-election.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director’s office shall be vacated if the director (1) becomes bankrupt or makes any arrangement or composition with his creditors; (2) dies or is found to be or becomes of unsound mind; (3) is absent from our board meetings during a continuous period of six (6) months, without special leave of our board, and his or her alternate director (if any) has not attended in his or her stead during the period; (4) is prohibited by law from acting as a director; (5) has been validly required by the relevant stock exchange to cease to be a director; (6) resigns his office by notice in writing to the company; or (7) is removed from office by notice in writing served on him signed by not less than ¾ in number (or if that is not a round number, the nearest lower round number) of the directors (including himself) then in office.</w:t>
            </w:r>
          </w:p>
        </w:tc>
        <w:tc>
          <w:tcPr>
            <w:tcW w:w="60" w:type="dxa"/>
            <w:tcBorders/>
            <w:vAlign w:val="center"/>
          </w:tcPr>
          <w:p>
            <w:pPr>
              <w:pStyle w:val="TableContents"/>
              <w:bidi w:val="0"/>
              <w:spacing w:before="0" w:after="283"/>
              <w:jc w:val="left"/>
              <w:rPr/>
            </w:pPr>
            <w:r>
              <w:rPr/>
              <w:t> </w:t>
            </w:r>
          </w:p>
        </w:tc>
        <w:tc>
          <w:tcPr>
            <w:tcW w:w="29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generally nominate directors if they comply with any applicable advance notice provisions and other procedural requirements in the corporation’s bylaws.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and newly created directorships may be filled by a majority of the directors elected or then in office, or by the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2"/>
        <w:gridCol w:w="60"/>
        <w:gridCol w:w="6044"/>
        <w:gridCol w:w="60"/>
        <w:gridCol w:w="2779"/>
      </w:tblGrid>
      <w:tr>
        <w:trPr/>
        <w:tc>
          <w:tcPr>
            <w:tcW w:w="1262"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Mergers and Similar Arrangements</w:t>
            </w:r>
          </w:p>
        </w:tc>
        <w:tc>
          <w:tcPr>
            <w:tcW w:w="60" w:type="dxa"/>
            <w:tcBorders/>
            <w:vAlign w:val="center"/>
          </w:tcPr>
          <w:p>
            <w:pPr>
              <w:pStyle w:val="TableContents"/>
              <w:bidi w:val="0"/>
              <w:spacing w:before="0" w:after="283"/>
              <w:jc w:val="left"/>
              <w:rPr/>
            </w:pPr>
            <w:r>
              <w:rPr/>
              <w:t> </w:t>
            </w:r>
          </w:p>
        </w:tc>
        <w:tc>
          <w:tcPr>
            <w:tcW w:w="604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combined company and the vesting of the undertaking, property and liabilities of such companies to the combined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Dissenting shareholders have the right to be paid the fair value of their shares (which, if not agreed between the parties, will be determined by the Cayman Islands court) if they follow the required procedures, subject to certain exceptions.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compromises or arrangements between a Cayman Islands company and its members (or any class of them).</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77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a consolidation, a statutory conversion or domestication of the corporation,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merger agreement does not amend in any respect its certificate of incorporation;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each share of its stock outstanding prior to the merger will be an identical share of stock following the merger;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parent entity and its Delaware subsidiary does not require authorization by a resolution of the board of directors or stockholders of that subsidiary if the board of directors of the parent corporation approves the terms of such merger and a certificate of ownership and merger is filed. For this purpose a company is a “parent” of a subsidiary if it holds at least 90% of the outstanding shares of each class of the stock of the subsidiary that has voting power.</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5247"/>
        <w:gridCol w:w="60"/>
        <w:gridCol w:w="4763"/>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amendments to the Companies Act that became effective on August 31, 2022, the majority-in-number “headcount test” in relation to the approval of members’ schemes of arrangement has been abolished.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86(2A) of the Companies Act provides that, if 75% in value of the members (or class of members) of a Cayman Islands company agree to any compromise or arrangement, such compromise or arrangement shall, if sanctioned by the Cayman Court, be binding on all members (or class of members)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members (or classes of them, as applicable). While a dissenting shareholder or creditor has the right to express to the court the view that the transaction ought not to be approved, the court would nevertheless be likely to approve the arrangement if it determines that: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has complied with the directions set down by the Cayman Islands court;  </w:t>
            </w:r>
          </w:p>
        </w:tc>
        <w:tc>
          <w:tcPr>
            <w:tcW w:w="60" w:type="dxa"/>
            <w:tcBorders/>
            <w:vAlign w:val="center"/>
          </w:tcPr>
          <w:p>
            <w:pPr>
              <w:pStyle w:val="TableContents"/>
              <w:bidi w:val="0"/>
              <w:spacing w:before="0" w:after="283"/>
              <w:jc w:val="left"/>
              <w:rPr/>
            </w:pPr>
            <w:r>
              <w:rPr/>
              <w:t> </w:t>
            </w:r>
          </w:p>
        </w:tc>
        <w:tc>
          <w:tcPr>
            <w:tcW w:w="47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a stockholder of record or beneficial owner of capital stock of a Delaware corporation generally has the right to dissent from and request payment of the fair value (excluding value arising from the accomplishment or expectation of the transaction) for such person’s shares upon a merger, consolidation, statutory conversion or domestication in which the Delaware corporation is participating, subject to specified procedural requirements, including that such person does not vote in favor of the transaction. However, the Delaware General Corporation Law does not confer appraisal rights in certain circumstances, including if the dissenting stockholder or beneficial owner owns shares traded on a national securities exchange and will receive publicly traded shares in the transaction. Under the Delaware General Corporation Law, a person asserting appraisal rights does not receive any payment for their shares until a court determines the fair value of the shares. The costs of the proceeding may be determined by the court and assessed against the parties as the court deems equitable under the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meeting was properly held and the statutory provisions as to the required majority vote have been met;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his/her interest.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993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If a compromise or arrangement of a Cayman Islands company is approved by the members in the context of a members’ scheme and the Cayman Islands court subsequently sanctions such scheme (as described above), a dissenting shareholder would have no rights comparable to the appraisal rights which it would have if the company in question were a Delaware corporation (being the right to receive payment in cash for the judicially determined value of its shares). This is because such scheme will be binding on all members (or class of members), regardless of whether all the members (or class of members) approved the scheme, upon the sanction order being made. Having said that, a dissenting shareholder would have the right to appeal the making of the sanction order to the Cayman Islands Court of Appeal, if there were grounds for doing so.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3"/>
        <w:gridCol w:w="60"/>
        <w:gridCol w:w="5135"/>
        <w:gridCol w:w="60"/>
        <w:gridCol w:w="3857"/>
      </w:tblGrid>
      <w:tr>
        <w:trPr/>
        <w:tc>
          <w:tcPr>
            <w:tcW w:w="1093"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Shareholder Suits</w:t>
            </w:r>
          </w:p>
        </w:tc>
        <w:tc>
          <w:tcPr>
            <w:tcW w:w="60" w:type="dxa"/>
            <w:tcBorders/>
            <w:vAlign w:val="center"/>
          </w:tcPr>
          <w:p>
            <w:pPr>
              <w:pStyle w:val="TableContents"/>
              <w:bidi w:val="0"/>
              <w:spacing w:before="0" w:after="283"/>
              <w:jc w:val="left"/>
              <w:rPr/>
            </w:pPr>
            <w:r>
              <w:rPr/>
              <w:t> </w:t>
            </w:r>
          </w:p>
        </w:tc>
        <w:tc>
          <w:tcPr>
            <w:tcW w:w="51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so that a non-controlling shareholder may be permitted to commence a class action against or derivative actions in the name of the company to challenge actions where: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company acts or proposes to act illegally or ultra vires;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those who control the company are perpetrating a “fraud on the minority.”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also (subject to meeting the relevant requirements in the Companies Act) file winding up proceedings against our company on just and equitable grounds, based on similar factual circumstances. It is possible for the shareholder to seek alternative remedies to a winding up within the winding up petition, depending on the circumstances. Such alternative remedies include seeking a share buyout order from our company or seeking an order regulating the conduct of our company’s affairs in the future.</w:t>
            </w:r>
          </w:p>
        </w:tc>
        <w:tc>
          <w:tcPr>
            <w:tcW w:w="60" w:type="dxa"/>
            <w:tcBorders/>
            <w:vAlign w:val="center"/>
          </w:tcPr>
          <w:p>
            <w:pPr>
              <w:pStyle w:val="TableContents"/>
              <w:bidi w:val="0"/>
              <w:spacing w:before="0" w:after="283"/>
              <w:jc w:val="left"/>
              <w:rPr/>
            </w:pPr>
            <w:r>
              <w:rPr/>
              <w:t> </w:t>
            </w:r>
          </w:p>
        </w:tc>
        <w:tc>
          <w:tcPr>
            <w:tcW w:w="3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Class actions and derivative actions generally are available to stockholders who satisfy certain procedural requirements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5"/>
        <w:gridCol w:w="60"/>
        <w:gridCol w:w="5450"/>
        <w:gridCol w:w="60"/>
        <w:gridCol w:w="3350"/>
      </w:tblGrid>
      <w:tr>
        <w:trPr/>
        <w:tc>
          <w:tcPr>
            <w:tcW w:w="12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Inspection of Corporate Records</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Shareholders of a Cayman Islands exempted company have no general right under Cayman Islands law to inspect or obtain copies of the register of members or other corporate records (other than the memorandum and articles of association and the register of mortgages and charges) of the company. However, these rights may be provided in the company’s articles of association.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stockholders of a Delaware corporation have the right during normal business hours to inspect for any proper purpose, and to obtain copies of lists of stockholders and other books and records of the corporation and its subsidiaries, if any, to the extent the books and records of such subsidiaries are available to the corporation. A complete list of the stockholders entitled to vote at a stockholders’ meeting generally must be available for stockholder inspection for a purpose germane to the meeting at least ten days before the meeting. </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Shareholder Proposals and Calling of Special Shareholder Meetings</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Companies Act provide shareholders with only limited rights to requisition a general meeting, and does not provide shareholders with any right to put any proposal before a general meeting. However, these rights may be provided in a company’s articles of association. Our A&amp;R MAA allow our shareholders holding in aggregate not less than one-tenth of the voting rights, on a one vote per share basis, in the share capital of the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A&amp;R MAA do not provide our shareholders with any other right to put proposals before annual general meetings or extraordinary general meetings. As an exempted Cayman Islands company, we are not obliged by law to call shareholders’ annual general meetings, but our A&amp;R MAA provide that we will do so for so long as our ordinary shares are traded on the HKEx.</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in the corporation’s certificate of incorporation or bylaws, Delaware law does not include a provision restricting the manner in which stockholders may bring business before a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stockholders.</w:t>
            </w:r>
          </w:p>
        </w:tc>
      </w:tr>
      <w:tr>
        <w:trPr/>
        <w:tc>
          <w:tcPr>
            <w:tcW w:w="1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12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Companies Act provide that shareholders may approve corporate matters by way of unanimous written resolutions signed by or on behalf of each shareholder who would have been entitled to vote on such matter at a general meeting without a meeting being held (if authorized by the articles of association). </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Delaware law provides that, unless otherwise provided in the certificate of incorporation, stockholders may take action by written consent signed by the holders of outstanding shares having not less than the minimum number of votes that would be necessary to authorize or take such action at a meeting of stockholders at which all shares entitled to vote thereon were present and voted.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9"/>
        <w:gridCol w:w="60"/>
        <w:gridCol w:w="5254"/>
        <w:gridCol w:w="60"/>
        <w:gridCol w:w="3722"/>
      </w:tblGrid>
      <w:tr>
        <w:trPr/>
        <w:tc>
          <w:tcPr>
            <w:tcW w:w="110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Dissolution; Winding Up</w:t>
            </w:r>
          </w:p>
        </w:tc>
        <w:tc>
          <w:tcPr>
            <w:tcW w:w="60" w:type="dxa"/>
            <w:tcBorders/>
            <w:vAlign w:val="center"/>
          </w:tcPr>
          <w:p>
            <w:pPr>
              <w:pStyle w:val="TableContents"/>
              <w:bidi w:val="0"/>
              <w:spacing w:before="0" w:after="283"/>
              <w:jc w:val="left"/>
              <w:rPr/>
            </w:pPr>
            <w:r>
              <w:rPr/>
              <w:t> </w:t>
            </w:r>
          </w:p>
        </w:tc>
        <w:tc>
          <w:tcPr>
            <w:tcW w:w="5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Further, the Grand Court of the Cayman Islands has authority to order winding up in a number of specified circumstances including where it is, in the opinion of the Court, just and equitable to do so. </w:t>
            </w:r>
          </w:p>
        </w:tc>
        <w:tc>
          <w:tcPr>
            <w:tcW w:w="60"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unless the board of directors approves the proposal to dissolve, dissolution must be approved by stockholders holding 100% of the total voting power of the corporation. Only if the dissolution is initiated and approved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A Delaware corporation may also be dissolved by decree or judgment of a Delaware court in certain circumstances. </w:t>
            </w:r>
          </w:p>
        </w:tc>
      </w:tr>
      <w:tr>
        <w:trPr/>
        <w:tc>
          <w:tcPr>
            <w:tcW w:w="1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left"/>
              <w:rPr/>
            </w:pPr>
            <w:r>
              <w:rPr/>
              <w:t> </w:t>
            </w:r>
          </w:p>
        </w:tc>
      </w:tr>
      <w:tr>
        <w:trPr/>
        <w:tc>
          <w:tcPr>
            <w:tcW w:w="1109"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Variation of Rights of Shares</w:t>
            </w:r>
          </w:p>
        </w:tc>
        <w:tc>
          <w:tcPr>
            <w:tcW w:w="60" w:type="dxa"/>
            <w:tcBorders/>
            <w:vAlign w:val="center"/>
          </w:tcPr>
          <w:p>
            <w:pPr>
              <w:pStyle w:val="TableContents"/>
              <w:bidi w:val="0"/>
              <w:spacing w:before="0" w:after="283"/>
              <w:jc w:val="left"/>
              <w:rPr/>
            </w:pPr>
            <w:r>
              <w:rPr/>
              <w:t> </w:t>
            </w:r>
          </w:p>
        </w:tc>
        <w:tc>
          <w:tcPr>
            <w:tcW w:w="5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Cayman Islands law and our A&amp;R MAA, whenever our share capital is divided into more than one class of shares (and as otherwise determined by the directors), subject to any rights or restrictions for the time being attached to any shares, we may materially adversely vary the rights attached to any class with the written consent of the holders of not less than three-fourths of the voting rights of the holders of such class or with the sanction of a special resolution passed at a separate meeting of the holders of the shares of that class by a majority of two-thirds of the votes cast at such meeting. The necessary quorum of such meeting shall be not less than persons holding (or, in the case of a shareholder being a corporation, by its duly authorized representative) or representing by proxy holding one-third of the issued shares of such class, and that any holder of shares of the class present in person (or in the case of the shareholder being a corporation, by its duly authorized representative) or by proxy may demand a poll.</w:t>
            </w:r>
          </w:p>
        </w:tc>
        <w:tc>
          <w:tcPr>
            <w:tcW w:w="60" w:type="dxa"/>
            <w:tcBorders/>
            <w:vAlign w:val="center"/>
          </w:tcPr>
          <w:p>
            <w:pPr>
              <w:pStyle w:val="TableContents"/>
              <w:bidi w:val="0"/>
              <w:spacing w:before="0" w:after="283"/>
              <w:jc w:val="left"/>
              <w:rPr/>
            </w:pPr>
            <w:r>
              <w:rPr/>
              <w:t> </w:t>
            </w:r>
          </w:p>
        </w:tc>
        <w:tc>
          <w:tcPr>
            <w:tcW w:w="3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Under Delaware law, a corporation may vary the rights of a class of shares with the approval of both a majority of the outstanding shares of capital stock of the corporation and a majority of the outstanding shares of such class, unless the certificate of incorporation provides otherwise. Under Delaware law, a corporation may also vary the rights of a series of a class of shares, but not the entire class, with the approval of both a majority of the outstanding shares of capital stock of the corporation and a majority of the outstanding shares of such series, unless the certificate of incorporation provides otherwise.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7"/>
        <w:gridCol w:w="60"/>
        <w:gridCol w:w="2433"/>
        <w:gridCol w:w="60"/>
        <w:gridCol w:w="6475"/>
      </w:tblGrid>
      <w:tr>
        <w:trPr/>
        <w:tc>
          <w:tcPr>
            <w:tcW w:w="117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Dividends and Stock Repurchases</w:t>
            </w:r>
          </w:p>
        </w:tc>
        <w:tc>
          <w:tcPr>
            <w:tcW w:w="60" w:type="dxa"/>
            <w:tcBorders/>
            <w:vAlign w:val="center"/>
          </w:tcPr>
          <w:p>
            <w:pPr>
              <w:pStyle w:val="TableContents"/>
              <w:bidi w:val="0"/>
              <w:spacing w:before="0" w:after="283"/>
              <w:jc w:val="left"/>
              <w:rPr/>
            </w:pPr>
            <w:r>
              <w:rPr/>
              <w:t> </w:t>
            </w:r>
          </w:p>
        </w:tc>
        <w:tc>
          <w:tcPr>
            <w:tcW w:w="24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and restrictions for the time being attached to any shares, or as otherwise provided for in the Companies Act and our A&amp;R MAA, our directors may from time to time declare dividends (including interim dividends) and other distributions on shares in issue and authorize payment of the same.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and restrictions for the time being attached to any shares, our Company by ordinary resolution may declare dividends, but no dividend shall exceed the amount recommended by our directors.</w:t>
            </w:r>
          </w:p>
        </w:tc>
        <w:tc>
          <w:tcPr>
            <w:tcW w:w="60" w:type="dxa"/>
            <w:tcBorders/>
            <w:vAlign w:val="center"/>
          </w:tcPr>
          <w:p>
            <w:pPr>
              <w:pStyle w:val="TableContents"/>
              <w:bidi w:val="0"/>
              <w:spacing w:before="0" w:after="283"/>
              <w:jc w:val="left"/>
              <w:rPr/>
            </w:pPr>
            <w:r>
              <w:rPr/>
              <w:t> </w:t>
            </w:r>
          </w:p>
        </w:tc>
        <w:tc>
          <w:tcPr>
            <w:tcW w:w="6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Delaware General Corporation Law provides that, subject to any restrictions in a corporation’s certificate of incorporation, dividends may be declared from the corporation’s surplus, or, if there is no surplus, from its net profits for the fiscal year in which the dividend is declared and for the preceding fiscal year, and Delaware common law also imposes a solvency requirement with respect to the payment of dividends. Dividends may not be declared out of net profits, however, if the corporation’s capital has been diminished to an amount less than the aggregate amount of all capital represented by the issued and outstanding stock of all classes having a preference upon the distribution of assets until the deficiency in the amount of capital represented by the issued and outstanding stock of all classes having a preference upon the distribution of assets is repaired. Furthermore, applicable Delaware statutory and common law generally provides that a corporation may redeem or repurchase its shares only if the redemption or repurchase would not impair the capital of the corporation and only if the corporation is solvent at the time of the redemption or repurchase, and the redemption or repurchase would not render the corporation insolvent. </w:t>
            </w:r>
          </w:p>
        </w:tc>
      </w:tr>
      <w:tr>
        <w:trPr/>
        <w:tc>
          <w:tcPr>
            <w:tcW w:w="11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1"/>
        <w:gridCol w:w="60"/>
        <w:gridCol w:w="3549"/>
        <w:gridCol w:w="60"/>
        <w:gridCol w:w="5095"/>
      </w:tblGrid>
      <w:tr>
        <w:trPr/>
        <w:tc>
          <w:tcPr>
            <w:tcW w:w="144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Anti-Takeover Provisions</w:t>
            </w:r>
          </w:p>
        </w:tc>
        <w:tc>
          <w:tcPr>
            <w:tcW w:w="60" w:type="dxa"/>
            <w:tcBorders/>
            <w:vAlign w:val="center"/>
          </w:tcPr>
          <w:p>
            <w:pPr>
              <w:pStyle w:val="TableContents"/>
              <w:bidi w:val="0"/>
              <w:spacing w:before="0" w:after="283"/>
              <w:jc w:val="left"/>
              <w:rPr/>
            </w:pPr>
            <w:r>
              <w:rPr/>
              <w:t> </w:t>
            </w:r>
          </w:p>
        </w:tc>
        <w:tc>
          <w:tcPr>
            <w:tcW w:w="35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A&amp;R MAA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A&amp;R MAA, as amended and restated from time to time, for a proper purpose and for what they believe in good faith to be in the best interests of our company.</w:t>
            </w:r>
          </w:p>
        </w:tc>
        <w:tc>
          <w:tcPr>
            <w:tcW w:w="60" w:type="dxa"/>
            <w:tcBorders/>
            <w:vAlign w:val="center"/>
          </w:tcPr>
          <w:p>
            <w:pPr>
              <w:pStyle w:val="TableContents"/>
              <w:bidi w:val="0"/>
              <w:spacing w:before="0" w:after="283"/>
              <w:jc w:val="left"/>
              <w:rPr/>
            </w:pPr>
            <w:r>
              <w:rPr/>
              <w:t> </w:t>
            </w:r>
          </w:p>
        </w:tc>
        <w:tc>
          <w:tcPr>
            <w:tcW w:w="5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Unless a corporation opts out of the provisions of Section 203 of the Delaware General Corporation Law, Section 203 generally 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 </w:t>
            </w:r>
          </w:p>
        </w:tc>
      </w:tr>
      <w:tr>
        <w:trPr/>
        <w:tc>
          <w:tcPr>
            <w:tcW w:w="1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95" w:type="dxa"/>
            <w:tcBorders/>
            <w:vAlign w:val="center"/>
          </w:tcPr>
          <w:p>
            <w:pPr>
              <w:pStyle w:val="TableContents"/>
              <w:bidi w:val="0"/>
              <w:spacing w:before="0" w:after="283"/>
              <w:jc w:val="left"/>
              <w:rPr/>
            </w:pPr>
            <w:r>
              <w:rPr/>
              <w:t> </w:t>
            </w:r>
          </w:p>
        </w:tc>
      </w:tr>
      <w:tr>
        <w:trPr/>
        <w:tc>
          <w:tcPr>
            <w:tcW w:w="144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Rights of Non-resident or Foreign Shareholders</w:t>
            </w:r>
          </w:p>
        </w:tc>
        <w:tc>
          <w:tcPr>
            <w:tcW w:w="60" w:type="dxa"/>
            <w:tcBorders/>
            <w:vAlign w:val="center"/>
          </w:tcPr>
          <w:p>
            <w:pPr>
              <w:pStyle w:val="TableContents"/>
              <w:bidi w:val="0"/>
              <w:spacing w:before="0" w:after="283"/>
              <w:jc w:val="left"/>
              <w:rPr/>
            </w:pPr>
            <w:r>
              <w:rPr/>
              <w:t> </w:t>
            </w:r>
          </w:p>
        </w:tc>
        <w:tc>
          <w:tcPr>
            <w:tcW w:w="35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There are no limitations imposed by our A&amp;R MAA on the rights of non-resident or foreign shareholders to hold or exercise voting rights on our ordinary shares. In addition, there are no provisions in our A&amp;R MAA governing the ownership threshold above which shareholder ownership must be disclosed. </w:t>
            </w:r>
          </w:p>
        </w:tc>
        <w:tc>
          <w:tcPr>
            <w:tcW w:w="60" w:type="dxa"/>
            <w:tcBorders/>
            <w:vAlign w:val="center"/>
          </w:tcPr>
          <w:p>
            <w:pPr>
              <w:pStyle w:val="TableContents"/>
              <w:bidi w:val="0"/>
              <w:spacing w:before="0" w:after="283"/>
              <w:jc w:val="left"/>
              <w:rPr/>
            </w:pPr>
            <w:r>
              <w:rPr/>
              <w:t> </w:t>
            </w:r>
          </w:p>
        </w:tc>
        <w:tc>
          <w:tcPr>
            <w:tcW w:w="5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limitations in the Delaware General Corporation Law related to rights of non-resident or foreign stockholders to hold or exercise voting rights of a Delaware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Listing</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Market under the symbol “AAPG.” Our ordinary shares are listed on the HKEx under the stock code “6855.”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has no exchange control regulations or currency restrictions.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on Reforming the Management Method regarding the Settlement of Foreign Exchange Capital of Foreign-invested Enterprises, or Circular 19, promulgated by the SAFE on March 30, 2015 and last amended on March 23, 2023, allows foreign-invested enterprises to make equity investments by using RMB funds converted from foreign exchange capital. Under Circular 19, the foreign exchange capital in the capital account of foreign- 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willingness-based foreign exchange settlement of capital for foreign-invested enterprises is temporarily set at 100%. The SAFE can adjust such proportion in due time based on the circumstances of the international balance of payments. However, Circular 19 and the Circular on Reforming and Regulating the Management Policies on the Settlement of Capital Projects, or Circular 16, promulgated by the SAFE on and effective as of June 9, 2016, continues to prohibit foreign-invested enterprises from, among other things, using RMB fund converted from its foreign exchange capitals for expenditure beyond its business scope, investment and financing in securities and other investments except for bank’s principal-secured products, providing loans to non-affiliated enterprises or constructing or purchasing real estate not for self-use. Recently, Circular 16 has further been amended by Circular of the State Administration of Foreign Exchange on Further Deepening Reform and Promoting Cross-border Trade and Investment Facilitation issued by SAFE on December 4, 2023 to further clarify restrictions on the use of domestic institutions’ income from foreign exchange receipts under capital account and the RMB funds obtained from the settlement. The prohibition on constructing or purchasing real estate not for self-use was removed by the Circular of the State Administration of Foreign Exchange on Matters Concerning Deepening the Reform of Foreign Exchange Management for Cross-border Investment and Financing, or Circular 43, promulgated by the SAFE on and effective as of September 12,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SAFE promulgated the Circular on Further Promoting the Facilitation of Cross-border Trade and Investment, or Circular 28. Pursuant to Circular 28, on the basis of allowing investment-oriented foreign- invested enterprise (including foreign-invested investment companies, foreign-invested venture capital enterprises and foreign-invested equity investment enterprises) to use capital funds for domestic equity investment in accordance with laws and regulations, non-investment foreign-invested enterprises will be allowed to use capital funds for domestic equity investment in accordance with the laws under the premise of not violating the Negative List and the authenticity and compliance of their domestic invested projects. Such provisions have recently been replaced by Circular on Further Deepening Reform and Promoting Cross-border Trade and Investment Facilitation that when non-investing foreign-funded enterprise makes domestic equity investment with capital funds in the domestic currency, the investee will handle the registration for the acceptance of domestic reinvestment and open a capital account to receive funds, and no entry registration of cash contribution is further required. The domestic institution that transfers the equity will, in accordance with the relevant provisions, register the receipt of domestic reinvestment and open a settlement account under the capital account to receive the consideration for equity transfer.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Circular on Optimizing Administration of Foreign Exchange to Support the Development of Foreign- related Business issued by SAFE on April 10, 2020, eligible enterprises are allowed to make domestic payments by using their capital funds, foreign credits and the income under capital accounts of overseas listing, with no need to provide the evidentiary materials concerning authenticity of such capital for banks in advance, provided that their capital use will be authentic and in line with provisions, and conform to the prevailing administrative regulations on the use of income under capital accounts. The concerned bank will conduct spot checking in accordance with the relevant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2006, the People’s Bank of China issued the Administration Measures on Individual Foreign Exchange Control and its Implementation Rules were issued by SAFE on January 5, 2007, both of which became effective on February 1, 2007. The Implementation Rules was later partly amended on May 29, 2016, and March 23, 2023. Under these regulations, all foreign exchange matters involved in the employee stock ownership plan, stock option plan and other similar plans, participated by onshore individuals shall be transacted upon approval from SAFE or its authorized branch. On February 15, 2012, SAFE promulgated the Notice on Relevant Issues Concerning Foreign Exchange Control on Domestic Individuals Participating in the Stock Incentive Plan of An Overseas Listed Company, or Circular 7, to replace the Operating Procedures for Administration of Domestic Individuals Participating in the Employee Stock Option Plan or Stock Option Plan of An Overseas Listed Company. Under Circular 7, the board members, supervisors, officers or other employees, including PRC citizens and foreigners having lived within the territory of the PRC successively for at least one year of a PRC entity, who participate in stock incentive plans or equity compensation plans by an overseas publicly listed company, or the PRC participants, are required, through a PRC agent or PRC subsidiaries of such overseas publicly-listed company, to complete certain foreign exchange registration procedures with respect to the plans upon the examination by, and approval of, SAFE. We and our PRC participants who have been granted stock options are subject to Circular 7. If our PRC participants who hold such options or our PRC subsidiary fail to comply with these regulations, such participants and their PRC employer may be subject to fines and legal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American depositary receipts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depositary, is the issuer of the ADSs. Each ADS represents an ownership interest in a designated number or percentage of ordinary shares that we have deposited with the custodian, as agent of the depositary, under the deposit agreement among ourselves, the depositary, and all holders and beneficial owners from time to time of American depositary receipts issued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office is located at 383 Madison Avenue, Floor 11, New York, NY 10179.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ADS-to-share ratio is subject to amendment as provided in the form of an American Depositary Receipt (an “ADR”) (which may give rise to fees contemplated by the form of ADR). In the future, each ADS will also represent any securities, cash or other property deposited with the depositary but which they have not distributed directly to you.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is any person or entity having a beneficial ownership interest in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that reflect your ownership of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ADR holder or beneficial owner, you are not treated as a shareholder of ours and you do not have any shareholder rights. Cayman Island law governs shareholder rights. Because the depositary or its nominee is the shareholder of record for the ordinary shares represented by all outstanding ADSs, shareholder rights rest with such record holder. Your rights are those of an ADR holder or of a beneficial owner. Such rights derive from the terms of the deposit agreement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us and the depositary and its agents are also set out in the deposit agreement. Because the depositary or its nominee is actually the registered owner of the ordinary shares, you must rely on it to exercise the rights of a shareholder on your behalf.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the ADRs and the ADSs are governed by and construed in accordance with the internal laws of the State of New York without giving effect to the application of the conflict of law principles thereof. Any claim brought against us by any holder or beneficial owner or on behalf of our company with regard to the internal affairs of our company, including the ability to bring such a claim, shall be governed by and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that contains the terms of your ADSs. You can read a copy of the deposit agreement, which is filed as an exhibit to our most recent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deposited securities,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will I receive dividends and other distributions on the ordinary shares underlying my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various types of distributions with respect to our securities. The depositary has agreed that, to the extent practicable, it will pay to you the cash dividends or other distributions it or the custodian receives on ordinary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and/or property under the deposit agreement. Such division, branch and/or affiliate may charge the depositary a fee in connection with such sales, which fee is considered an expense of the depositary chargeable to holders of ADSs. All sales of securities will be handled by the depositary in accordance with its then current policies. You will receive these distributions in proportion to the number of underlying securities that your ADSs represent. In all instances where the deposit agreement or an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us: (1) the depositary shall, in the event the deposit agreement is terminated and the depositary holds deposited securities that are not listed and publicly traded after the termination date of the deposit agreement, act in accordance with the termination provisions of the deposit agreement and form of ADR in respect of such securities and property; and (2) in the event the depositary or its custodian receives a distribution other than cash, our ordinary shares and/or rights to acquire our ordinary shares, and such distribution consists of securities or property that are not distributed by the depositary the depositary will be deemed to have sold the aggregate number of securities and/or property so received for nominal value and shall have no obligation to distribute such securities or any proceeds from the deemed sale thereof to the ADR holders. Furthermore, in the event the depositary endeavors to make a sale of ordinary shares, other securities or property, such securities and/or property may be sold in a block sale or single lot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below, the depositary will distribute as soon as reasonably practical such distributions to ADR holders in proportion to their interests in the following manner: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Cash.</w:t>
            </w:r>
            <w:r>
              <w:rPr>
                <w:sz w:val="20"/>
              </w:rPr>
              <w:t xml:space="preserve"> The depositary will distribute any U.S. dollars available to it resulting from a cash dividend or other cash distribution or the net proceeds of sales of any other distribution or portion thereof (to the extent applicable), on an averaged or other practicable basis, subject to (1) appropriate adjustments for taxes withheld, (2) such distribution being permissible or practicable with respect to certain registered ADR holders, and (3) deduction of the depositary’s and/or its agents’ fees and expenses in (A) converting any foreign currency to U.S. dollars to the extent that it determines that such conversion may be made on a reasonable basis, (B) transferring foreign currency or U.S. dollars to the United States by such means as the depositary may determine to the extent that it determines that such transfer may be made on a reasonable basis, (C) obtaining any approval or license of any governmental authority required for such conversion or transfer, which is obtainable at a reasonable cost and within a reasonable time and (D) making any sale by public or private means in any commercially reasonable manner. 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ADR holders issued in respect of such deposited securities. To the extent we or the depositary shall be required to withhold and do withhold from any cash dividend, distribution or net proceeds from sales in respect of any deposited securities an amount on account of taxes, the amount distributed on the ADSs issued in respect of such deposited securities shall be reduced accordingly.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 xml:space="preserve">To the extent the depositary determines in its reasonable discretion that it would not be permitted by applicable law, rule or regulation, or it would not otherwise be practicable, to convert foreign currency into U.S. dollars and distribute such U.S. dollars to some or all of the ADR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ADR holders entitled to receive the same. To the extent the depositary retains and holds any cash, foreign currency, securities or other property as permitted under the deposit agreement, any and all fees, charges and expenses related to, or arising from, the holding thereof shall be paid from such cash, foreign currency, securities or other property, or the net proceeds from the sale thereof, thereby reducing the amount so held. </w:t>
            </w:r>
            <w:r>
              <w:rPr>
                <w:i/>
                <w:sz w:val="20"/>
              </w:rPr>
              <w:t>If exchange rates fluctuate during a time when the depositary cannot convert a foreign currency, you may lose some or all of the value of the distribution.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Shares.</w:t>
            </w:r>
            <w:r>
              <w:rPr>
                <w:sz w:val="20"/>
              </w:rPr>
              <w:t xml:space="preserve"> In the case of a distribution in ordinary shares, the depositary will issue additional ADRs to evidence the number of ADSs representing such ordinary shares. Only whole ADSs will be issued. Any ordinary shares that would result in fractional ADSs will be sold and the net proceeds of the public or private sales of such will be distributed in the same manner as cash to the ADR holders entitled thereto.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Rights to receive additional shares.</w:t>
            </w:r>
            <w:r>
              <w:rPr>
                <w:sz w:val="20"/>
              </w:rPr>
              <w:t xml:space="preserve"> In the case of a distribution of rights to subscribe for additional ordinary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both"/>
              <w:rPr>
                <w:sz w:val="20"/>
              </w:rPr>
            </w:pPr>
            <w:r>
              <w:rPr>
                <w:sz w:val="20"/>
              </w:rPr>
              <w:t>(i)</w:t>
            </w:r>
          </w:p>
        </w:tc>
        <w:tc>
          <w:tcPr>
            <w:tcW w:w="9948" w:type="dxa"/>
            <w:tcBorders/>
            <w:vAlign w:val="center"/>
          </w:tcPr>
          <w:p>
            <w:pPr>
              <w:pStyle w:val="TableContents"/>
              <w:bidi w:val="0"/>
              <w:spacing w:before="0" w:after="283"/>
              <w:jc w:val="both"/>
              <w:rPr>
                <w:sz w:val="20"/>
              </w:rPr>
            </w:pPr>
            <w:r>
              <w:rPr>
                <w:sz w:val="20"/>
              </w:rPr>
              <w:t>sell such rights if practicable and distribute the net proceeds of the public or private sales of such rights in the same manner as cash to the ADR holders entitled thereto; or </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both"/>
              <w:rPr>
                <w:sz w:val="20"/>
              </w:rPr>
            </w:pPr>
            <w:r>
              <w:rPr>
                <w:sz w:val="20"/>
              </w:rPr>
              <w:t>(ii)</w:t>
            </w:r>
          </w:p>
        </w:tc>
        <w:tc>
          <w:tcPr>
            <w:tcW w:w="9905" w:type="dxa"/>
            <w:tcBorders/>
            <w:vAlign w:val="center"/>
          </w:tcPr>
          <w:p>
            <w:pPr>
              <w:pStyle w:val="TableContents"/>
              <w:bidi w:val="0"/>
              <w:spacing w:before="0" w:after="283"/>
              <w:jc w:val="both"/>
              <w:rPr>
                <w:sz w:val="20"/>
              </w:rPr>
            </w:pPr>
            <w:r>
              <w:rPr>
                <w:sz w:val="20"/>
              </w:rPr>
              <w:t>if it is not practicable to sell such rights by reason of the non-transferability of the rights, limited markets therefor, their short duration or otherwise, do nothing and allow such rights to lapse, in which case ADR holders will receive nothing and the rights may lapse.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file a registration statement under the Securities Act in order to make any rights available to ADR holders.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Other distributions.</w:t>
            </w:r>
            <w:r>
              <w:rPr>
                <w:sz w:val="20"/>
              </w:rPr>
              <w:t xml:space="preserve"> In the case of a distribution of securities or property other than those described above, the depositary may either (1) distribute such securities or property in any manner it deems equitable and practicable or (2) to the extent the depositary deems distribution of such securities or property not to be equitable and practicable, sell such securities or property and distribute any net proceeds of public or private sales in the same way it distributes cash.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i/>
                <w:sz w:val="20"/>
              </w:rPr>
              <w:t>Elective distributions</w:t>
            </w:r>
            <w:r>
              <w:rPr>
                <w:sz w:val="20"/>
              </w:rPr>
              <w:t>. In the case of a dividend payable at the election of our shareholders in cash or in additional ordinary shares, we will notify the depositary at least 30 days prior to the proposed distribution stating whether or not we wish such elective distribution to be made available to ADR holders. The depositary shall make such elective distribution available to ADR holders only if (1) we shall have timely requested that the elective distribution is available to ADR holders, (2) the depositary shall have determined that such distribution is reasonably practicable and (3)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ordinary shares for which no election is made, either (x) cash or (y) additional ADSs representing such additional ordinary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ordinary shares.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determines in its reasonable discretion that any distribution described above is not practicable with respect to any or all ADR holders, the depositary may choose any method of distribution that it deems practicable for such ADR holder, including the distribution of some or all of any cash, foreign currency, securities or other property (or appropriate documents evidencing the right to receive some or all of any such cash, foreign currency, security or other property), and/or it may retain some or all of such items, without paying interest on or investing them, on behalf of the ADR holder as deposited securities, in which case the ADSs will also represent the retained items. To the extent the depositary does not reasonably believe it will be permitted by applicable law, rule or regulation to convert foreign currency into U.S. dollars and distribute such U.S. dollars to some or all of the ADR holders, the depositary may in its discretion distribute some or all of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 dollars will be paid via wire transfer and/or distributed by checks drawn on a bank in the United States for whole dollars and cents. Fractional cents will be withheld without liability and dealt with by the depositary in accordance with its then current practices.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depositary is not responsible if it fails to determine that any distribution or action is lawful or reasonably practicable.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There can be no assurance that the depositary will be able to convert any currency at a specified exchange rate or sell any property, rights, ordinary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depositary issue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issue ADSs if you or your broker deposit ordinary shares or evidence of rights to receive ordinary shares with the custodian and pay the fees and expenses owing to the depositary in connection with such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will hold all deposited ordinary shares for the account and to the order of the depositary, in each case for the benefit of ADR holders, to the extent not prohibited by law. ADR holders and beneficial owners thus have no direct ownership interest in the ordinary shares and only have such rights as are contained in the deposit agreement. The custodian will also hold any additional securities, property and cash received on or in substitution for the deposited ordinary shares. The deposited ordinary shares and any such additional items are referred to as “deposited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each deposit of ordinary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ADR holder’s name. An ADR holder can request that the ADSs not be held through the depositary’s direct registration system and that a certificated ADR be issued.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How do ADR holders cancel an ADS and obtain deposited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turn in your ADR certificate at the depositary’s office, or when you provide proper instructions and documentation in the case of direct registration ADSs, subject to the provisions of or governing our ordinary shares (including, without limitation, our governing documents and all applicable laws, rules and regulations), the depositary will, upon payment of certain applicable fees, charges and taxes, deliver the underlying ordinary shares to you or upon your written order. Delivery of deposited securities in certificated form will be made at the custodian’s office (or from the custodian to the extent dematerialized). At your risk, expense and request, the depositary may deliver deposited securities (including any certificates therefor) at such other place as you may request.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only restrict the withdrawal of deposited securities in connection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temporary delays caused by closing our transfer books or those of the depositary or the deposit of ordinary shares in connection with voting at a shareholders’ meeting, or the payment of dividends; </w:t>
            </w:r>
          </w:p>
        </w:tc>
      </w:tr>
    </w:tbl>
    <w:p>
      <w:pPr>
        <w:pStyle w:val="TextBody"/>
        <w:bidi w:val="0"/>
        <w:spacing w:before="0" w:after="0"/>
        <w:ind w:left="720" w:right="0" w:hanging="36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040" w:type="dxa"/>
            <w:tcBorders/>
            <w:vAlign w:val="center"/>
          </w:tcPr>
          <w:p>
            <w:pPr>
              <w:pStyle w:val="TableContents"/>
              <w:bidi w:val="0"/>
              <w:spacing w:before="0" w:after="283"/>
              <w:jc w:val="both"/>
              <w:rPr>
                <w:sz w:val="20"/>
              </w:rPr>
            </w:pPr>
            <w:r>
              <w:rPr>
                <w:sz w:val="20"/>
              </w:rPr>
              <w:t>the payment of fees, taxes and similar charges; or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compliance with any U.S. or foreign laws or governmental regulations relating to the ADRs or to the withdrawal of deposited securities.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170"/>
        <w:gridCol w:w="5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sz w:val="20"/>
              </w:rPr>
            </w:pPr>
            <w:r>
              <w:rPr>
                <w:sz w:val="20"/>
              </w:rPr>
              <w:t>to receive any distribution on or in respect of deposited securities, </w:t>
            </w:r>
          </w:p>
        </w:tc>
      </w:tr>
    </w:tbl>
    <w:p>
      <w:pPr>
        <w:pStyle w:val="TextBody"/>
        <w:bidi w:val="0"/>
        <w:spacing w:before="0" w:after="0"/>
        <w:ind w:left="720" w:right="0" w:hanging="36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280" w:type="dxa"/>
            <w:tcBorders/>
            <w:vAlign w:val="center"/>
          </w:tcPr>
          <w:p>
            <w:pPr>
              <w:pStyle w:val="TableContents"/>
              <w:bidi w:val="0"/>
              <w:spacing w:before="0" w:after="283"/>
              <w:jc w:val="both"/>
              <w:rPr>
                <w:sz w:val="20"/>
              </w:rPr>
            </w:pPr>
            <w:r>
              <w:rPr>
                <w:sz w:val="20"/>
              </w:rPr>
              <w:t>to give instructions for the exercise of voting rights,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pay any fees assessed by, or owing to, the depositary for administration of the ADR program and for any expenses as provided for in the ADR, or </w:t>
            </w:r>
          </w:p>
        </w:tc>
      </w:tr>
    </w:tbl>
    <w:p>
      <w:pPr>
        <w:pStyle w:val="TextBody"/>
        <w:bidi w:val="0"/>
        <w:spacing w:before="0" w:after="0"/>
        <w:ind w:left="720" w:right="0" w:hanging="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sz w:val="20"/>
              </w:rPr>
            </w:pPr>
            <w:r>
              <w:rPr>
                <w:sz w:val="20"/>
              </w:rPr>
              <w:t>to receive any notice or to act or be obligated in respect of other matters,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subject to the provisions of the deposit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vote?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ADR holder and the depositary asks you to provide it with voting instructions, you may instruct the depositary how to exercise the voting rights for the ordinary shares which underlie your ADSs. As soon as practicable after receipt from us of notice of any meeting at which the holders of ordinary shares are entitled to vote, or of our solicitation of consents or proxies from holders of ordinary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“voting notice” stating (1) final information particular to such vote and meeting and any solicitation materials, (2)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(3) the manner in which such instructions may be given or deemed given in accordance with the applicable provisions of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actual receipt by the ADR department responsible for proxies and voting of ADR holders’ instructions (including, without limitation, instructions of any entity or entities acting on behalf of the nominee for The Depository Trust Company, 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we have provided the depositary with at least 35 days’ notice of the proposed meeting, (B) the voting notice will be received by all holders and beneficial owners no less than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pursuant to the deposit agreement, the depositary is instructed to deem such holder, to have instructed the depositary to give a discretionary proxy for such agenda item(s) to a person designated by us to vote the deposited securities represented by the ADSs for which actual instructions were not so given by all such holders on such agenda item(s), provided that no such instruction shall be deemed given and no discretionary proxy shall be given unless (1) we inform the depositary in writing that (a) we wish such proxy to be given with respect to such agenda item(s), (b) there is no substantial opposition existing with respect to such agenda item(s) and (c) such agenda item(s), if approved, would not materially or adversely affect the rights of holders of ordinary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in the deposit agreement will be given effect under the laws, rules and regulations of the Cayman Islands, and (iv) the granting of such discretionary proxy will not under any circumstances result in the ordinary shares represented by the ADSs being treated as assets of the depositary under the laws, rules or regulations of the Cayman Islands.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from time to time access information available to it to consider whether any of the circumstances described in 1(b) or 1(c) the paragraph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in 1(b) or 1(c) the paragraph above exist and/or whether we complied with our obligation to timely inform the depositary of such circumstances. Neither the depositary, the custodian nor any of their respective agents shall incur any liability to holders or beneficial owners (i) as a result of our failure to determine that any of the circumstances described in 1(b) or 1(c) the paragraph above exist or our failure to timely notify the depositary of any such circumstances or (ii) if any agenda item which is approved at a meeting has, or is claimed to have, a material or adverse effect on the rights of holders of ordinary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us in such circumstances, and neither the depositary, the custodian nor any of their respective agents shall incur any liability to holders or beneficial owners in such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A&amp;R MAA, voting at any meeting of our shareholders shall be decided by poll save that the chairman of the meeting may, pursuant to the Hong Kong Listing Rules, allow a resolution to be voted by a show of hands. In the event that voting on any resolution or matter is conducted on a show of hands basis, the depositary will refrain from voting and the voting instructions received by the depositary shall lapse. The depositary will not demand a poll or join in demanding a poll, whether or not requested to do so.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in accordance with the applicable provisions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to grant a discretionary proxy pursuant to the applicable provisions of the deposit agreement, or for the effect of any such vote.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you will receive voting materials in time to instruct the depositary to vote and it is possible that you, or persons who hold their ADSs through brokers, dealers or other third parties, will not have the opportunity to exercise a right to vote.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and other communications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Will ADR holders be able to view our reports?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the provisions of or governing deposited securities, and any written communications from us which are both received by the custodian or its nominee as a holder of deposited securities and made generally available to the holders of deposited securities, are available for inspection by ADR holders at the offices of the depositary in the United States, on the SEC’s internet website or upon request to the depositary (which request may be refused by the depositary at its discretion).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we make (i) any communications available to holders of our ordinary shares or any securities regulatory authority or stock exchange that could require, or result in, the depositary taking or planning to take any action pursuant to the deposit agreement or (ii) any communication that reasonably could require the depositary to take, or plan to take, action pursuant to the deposit agreement, we will furnish copies thereof (or English translations or summaries) to the depositary and the depositary will distribute the same to registered ADR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What fees and expenses will I be responsible for paying?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charge each person to whom ADSs are issued, including, without limitation, issuances against deposits of ordinary shares, issuances in respect of ordinary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ADSs are cancelled or reduced for any other reason, a fee of up to US$5.00 for each 100 ADSs (or any portion thereof) issued, delivered, reduced, cancelled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fees, charges and expenses shall also be incurred by the ADR holders, the beneficial owners, by any party depositing or withdrawing ordinary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fee of up to US$0.05 per ADS held for any cash distribution made, or for any elective cash/stock dividend offered, pursuant to the deposit agreement;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 amount for the reimbursement of such fees, charges and expenses as are incurred by the depositary and/or any of its agents (including, without limitation, the custodian, as well as charges and expenses incurred on behalf of ADR holders in connection with compliance with foreign exchange control regulations or any law, rule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fee of up to US$0.05 per ADS held for the direct or indirect distribution of securities (other than ADSs or rights to purchase additional ADSs) or the net cash proceeds from the public or private sale of such securities, regardless of whether any such distribution and/or sale is made by, for, or received from, or (in each case) on behalf of, the depositary, us and/or any third party (which fee may be assessed against ADR holders as of a record date set by the depositary); </w:t>
            </w:r>
          </w:p>
        </w:tc>
      </w:tr>
    </w:tbl>
    <w:p>
      <w:pPr>
        <w:pStyle w:val="TextBody"/>
        <w:bidi w:val="0"/>
        <w:spacing w:before="0" w:after="0"/>
        <w:ind w:left="720" w:right="0" w:hanging="36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170"/>
        <w:gridCol w:w="5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000" w:type="dxa"/>
            <w:tcBorders/>
            <w:vAlign w:val="center"/>
          </w:tcPr>
          <w:p>
            <w:pPr>
              <w:pStyle w:val="TableContents"/>
              <w:bidi w:val="0"/>
              <w:spacing w:before="0" w:after="283"/>
              <w:jc w:val="both"/>
              <w:rPr>
                <w:sz w:val="20"/>
              </w:rPr>
            </w:pPr>
            <w:r>
              <w:rPr>
                <w:sz w:val="20"/>
              </w:rPr>
              <w:t>stock transfer or other taxes and other governmental charges;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transaction fee per cancellation request (including any cancellation request made through SWIFT, facsimile transmission or any other method of communication) as disclosed on the “Disclosures” page (or successor page) of www.adr.com (as updated by the depositary from time to time, “ADR.com”) and any applicable delivery expenses (which are payable by such persons or ADR holders);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transfer or registration fees for the registration of transfer of deposited securities on any applicable register in connection with the deposit or withdrawal of deposited securities;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fees of any division, branch or affiliate of the depositary utilized by the depositary to direct, manage and/or execute any public and/or private sale of securities under the deposit agreement.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administration of various depositary receipt transactions, including disbursement of dividends or other cash distributions and other corporate actions, the depositary may engage the foreign exchange desk within the banking division of the depositary,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foreign exchange rate applied to a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ADR holders or beneficial owners. </w:t>
      </w:r>
      <w:r>
        <w:rPr>
          <w:rFonts w:ascii="Times New Roman;Times;Serif" w:hAnsi="Times New Roman;Times;Serif"/>
          <w:b w:val="false"/>
          <w:i/>
          <w:caps w:val="false"/>
          <w:smallCaps w:val="false"/>
          <w:sz w:val="20"/>
        </w:rPr>
        <w:t>The spread applied does not reflect any gains or losses that may be earned or incurred by the Bank and its affiliates as a result of risk management or other hedging related activity.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other fees, charges and expenses of the depositary and any agent of the depositary (except the custodian) pursuant to agreements from time to time between us and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depositary to charge and receive payment of fees, charges and expenses survives the termination of the deposit agreement, and shall extend for those fees, charges and expenses incurred prior to the effectiveness of any resignation or removal of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and charges described above may be amended from time to time by agreement between us and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anticipates reimbursing us for certain expenses incurred by us that are related to the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The depositary may also agree to reduce or waive certain fees that would normally be charged on ADSs issued to or at the director of, or otherwise held by, us and/or certain holders and beneficial owners and holders and beneficial owners of ordinary shares of ours. The depositary collects its fees for issuance and cancellation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(1) deduct the amount thereof from any cash distributions, or (2)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the depositary’s or our respective agents shall be liable to holders or beneficial owners of the ADSs and ADRs for failure of any holders or beneficial owners to comply with applicable tax laws, rules and/or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prohibited by law, rule, regulation, fiduciary duty, contractual or confidential obligation or otherwise, the depositary will forward to us such information in the depositary’s possession from the transfer records maintained by the depositary in accordance with the depositary’s policies and procedures as we may reasonably request in writing to enable us to file any reports required to be filed by us with governmental authorities or agencies to comply with applicable laws; provided, however, that the depositary will have no liability for the accuracy of any such information and will, in connection with any such accuracy and inaccuracy, not be required to incur or become subject to any liability, cost or expense and will be indemnified by us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 recapitalizations and mergers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take certain actions that affect the deposited securities, including (1) any change in par value, split-up, consolidation, cancellation or other reclassification of deposited securities or (2) any distributions of ordinary shares or other property not made to holders of ADRs or (3) any recapitalization, reorganization, merger, consolidation, liquidation, receivership, bankruptcy or sale of all or substantially all of our assets, then the depositary may choose to, and shall if reasonably requested by us:</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70"/>
        <w:gridCol w:w="20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060" w:type="dxa"/>
            <w:tcBorders/>
            <w:vAlign w:val="center"/>
          </w:tcPr>
          <w:p>
            <w:pPr>
              <w:pStyle w:val="TableContents"/>
              <w:bidi w:val="0"/>
              <w:spacing w:before="0" w:after="283"/>
              <w:jc w:val="both"/>
              <w:rPr>
                <w:sz w:val="20"/>
              </w:rPr>
            </w:pPr>
            <w:r>
              <w:rPr>
                <w:sz w:val="20"/>
              </w:rPr>
              <w:t>amend the form of ADR; </w:t>
            </w:r>
          </w:p>
        </w:tc>
      </w:tr>
    </w:tbl>
    <w:p>
      <w:pPr>
        <w:pStyle w:val="TextBody"/>
        <w:bidi w:val="0"/>
        <w:spacing w:before="0" w:after="0"/>
        <w:ind w:left="720" w:right="0" w:hanging="36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320" w:type="dxa"/>
            <w:tcBorders/>
            <w:vAlign w:val="center"/>
          </w:tcPr>
          <w:p>
            <w:pPr>
              <w:pStyle w:val="TableContents"/>
              <w:bidi w:val="0"/>
              <w:spacing w:before="0" w:after="283"/>
              <w:jc w:val="both"/>
              <w:rPr>
                <w:sz w:val="20"/>
              </w:rPr>
            </w:pPr>
            <w:r>
              <w:rPr>
                <w:sz w:val="20"/>
              </w:rPr>
              <w:t>distribute additional or amended ADRs; </w:t>
            </w:r>
          </w:p>
        </w:tc>
      </w:tr>
    </w:tbl>
    <w:p>
      <w:pPr>
        <w:pStyle w:val="TextBody"/>
        <w:bidi w:val="0"/>
        <w:spacing w:before="0" w:after="0"/>
        <w:ind w:left="720" w:right="0" w:hanging="36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430" w:type="dxa"/>
            <w:tcBorders/>
            <w:vAlign w:val="center"/>
          </w:tcPr>
          <w:p>
            <w:pPr>
              <w:pStyle w:val="TableContents"/>
              <w:bidi w:val="0"/>
              <w:spacing w:before="0" w:after="283"/>
              <w:jc w:val="both"/>
              <w:rPr>
                <w:sz w:val="20"/>
              </w:rPr>
            </w:pPr>
            <w:r>
              <w:rPr>
                <w:sz w:val="20"/>
              </w:rPr>
              <w:t>distribute cash, securities or other property it has received in connection with such actions; </w:t>
            </w:r>
          </w:p>
        </w:tc>
      </w:tr>
    </w:tbl>
    <w:p>
      <w:pPr>
        <w:pStyle w:val="TextBody"/>
        <w:bidi w:val="0"/>
        <w:spacing w:before="0" w:after="0"/>
        <w:ind w:left="720" w:right="0" w:hanging="36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330" w:type="dxa"/>
            <w:tcBorders/>
            <w:vAlign w:val="center"/>
          </w:tcPr>
          <w:p>
            <w:pPr>
              <w:pStyle w:val="TableContents"/>
              <w:bidi w:val="0"/>
              <w:spacing w:before="0" w:after="283"/>
              <w:jc w:val="both"/>
              <w:rPr>
                <w:sz w:val="20"/>
              </w:rPr>
            </w:pPr>
            <w:r>
              <w:rPr>
                <w:sz w:val="20"/>
              </w:rPr>
              <w:t>sell by public or private sale any securities or property received and distribute the proceeds as cash; or </w:t>
            </w:r>
          </w:p>
        </w:tc>
      </w:tr>
    </w:tbl>
    <w:p>
      <w:pPr>
        <w:pStyle w:val="TextBody"/>
        <w:bidi w:val="0"/>
        <w:spacing w:before="0" w:after="0"/>
        <w:ind w:left="720" w:right="0" w:hanging="36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75"/>
        <w:gridCol w:w="170"/>
        <w:gridCol w:w="15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1580" w:type="dxa"/>
            <w:tcBorders/>
            <w:vAlign w:val="center"/>
          </w:tcPr>
          <w:p>
            <w:pPr>
              <w:pStyle w:val="TableContents"/>
              <w:bidi w:val="0"/>
              <w:spacing w:before="0" w:after="283"/>
              <w:jc w:val="both"/>
              <w:rPr>
                <w:sz w:val="20"/>
              </w:rPr>
            </w:pPr>
            <w:r>
              <w:rPr>
                <w:sz w:val="20"/>
              </w:rPr>
              <w:t>none of the above.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does not choose any of the above options, any of the cash, securities or other property it receives will constitute part of the deposited securities and each ADS will then represent a proportionate interest in such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ADSs without your consent for any reason. ADR holders must be given at least 30 days’ notice of any amendment that imposes or increases any fees on a per ADS basis, charges or expenses (other than stock transfer or other taxes and other governmental charges, transfer or registration fees, a transaction fee per cancellation request (including any cancellation request made through SWIFT, facsimile transmission or any other method of communication), applicable delivery expenses or other such fees, charges or expenses), or otherwise prejudices any substantial existing right of ADR holders or beneficial owners. If an ADR holder or beneficial owner continues to hold an ADR or ADRs, or an interest therein,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or supplements that (1) are reasonably necessary (as agreed by us and the depositary) in order for (A) the ADSs to be registered on Form F-6 under the Securities Act, or (B) the ADSs or ordinary shares to be traded solely in electronic book-entry form and (2)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that would require amendment or supplement of the deposit agreement or the form of ADR to ensure compliance therewith, we and the depositary may amend or supplement the deposit agreement and the form of ADR (and all outstanding ADRs)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amendment to the deposit agreement or form of ADR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upon retrieval from the SEC’s, the depositary’s or our website or upon request from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How may the deposit agreement be terminated?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at any time, and shall at our written direction, terminate the deposit agreement and the ADRs by mailing notice of such termination to the registered holders of ADRs at least 30 days prior to the date fixed in such notice for such termination; provided, however, if the depositary shall have (1) resigned as depositary under the deposit agreement, notice of such termination by the depositary shall not be provided to registered ADR holders unless a successor depositary shall not be operating under the deposit agreement within 60 days of the date of such resignation, and (2)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Notwithstanding anything to the contrary in the deposit agreement, the depositary may terminate the deposit agreement (A) without notifying us, but subject to giving 30 days’ notice to the ADR holders, under the following circumstances: (i) in the event of our bankruptcy, liquidation proceedings or insolvency, (ii) if the ADRs are delisted from a “national securities exchange” (that has registered with the Commission under Section 6 of the Exchange Act), (iii) if we effect (or will effect) a redemption of all or substantially all of the deposited securities, or a cash or share distribution representing a return of all or substantially all of the value of the deposited securities, (iv) there are no deposited securities with respect to ADSs remaining, including if the deposited securities are cancelled, or the deposit securities have been deemed to have no value, or (v) there occurs a merger, consolidation, sale of assets or other transaction as a result of which securities or other property are delivered in exchange for or in lieu of deposited securities, and (B) immediately without prior notice to us, any ADR holder or beneficial owner or any other person if (i) required by any law, rule or regulation relating to sanctions by any governmental authority or body, (ii) the depositary would be subject to liability under or pursuant to any law, rule or regulation, or (iii) required by any governmental authority or body, in each case under (b) as determined by the depositary in its reasonable discretion.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not listed and publicly traded on a stock exchange or in a securities market as of the date so fixed for termination or if, for any reason, the depositary does not sell the deposited securities, then after such date fixed for termination, the depositary shall use its reasonable efforts to ensure that the ADSs cease to be eligible for settlement within DTC and that neither DTC nor any of its nominees shall thereafter be an ADR holder. At such time as the ADSs cease to be DTC eligible and/or neither DTC nor any of its nominees is an ADR holder, to the extent we are not, to the depositary’s knowledge, insolvent or in bankruptcy or liquidation, the depositary shall (A) cancel all outstanding ADRs; (B) request DTC to provide the depositary with information on those holding ADSs through DTC and, upon receipt thereof, revise the ADR register to reflect the information provided by DTC; (C) instruct its custodian to deliver all deposited securities to us, a subsidiary or affiliate of ours (the company representative) or an independent trust company engaged by us (the trustee) to hold those deposited securities in trust for the beneficial owners of the ADRs if we are not permitted to hold any of the deposited securities under applicable law and/or we have directed the depositary to deliver such deposited securities to the company representative or trustee along with a stock transfer form and/or such other instruments of transfer covering such deposited securities as are needed under applicable law, in either case referring to the names set forth on the ADR register and (D) provide us with a copy of the ADR register.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instrument of transfer covering such deposited securities and the ADR Register, we have agreed that we will, to the extent not prohibited by any law, rule or regulation, approve the transfer of the deposited securities previously represented by their ADRs to the persons listed on the ADR register (as applicable), procure the relevant updates to our register of members to reflect the transfer of the deposited securities previously represented by their ADRs to the persons listed on the ADR register (as applicable) and provide the depositary with a certified copy of the updated register of our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reasonably believes that we are insolvent, or if we are in receivership, have filed for bankruptcy and/or are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 shall be deemed to have instructed the depositary that the deposited securities have no value). The depositary may (and, by holding an ADR or an interest therein, all holders irrevocably consent and agree that the depositary may) instruct its custodian to deliver all deposited securities to us (acting, as applicable by an administrator, receiver, administrative receiver, liquidator, provisional liquidator, restructuring officer, interim restructuring officer, trustee, controller or other entity overseeing the bankruptcy, insolvency, administration, restructuring or liquidation process) and notify us that the deposited ordinary shares are surrendered for no consideration. The deposit agreement requires us, subject to applicable law, to promptly accept the surrender of the deposited ordinary shares for no consideration and deliver to the depositary a written notice confirming (A) the acceptance of the surrender of the deposited securities for no consideration and (B) the cancellation of such deposited ordinary shares. Promptly after notifying us that the deposited ordinary shares are surrendered for no consideration and irrespective of whether we have complied with the immediately preceding sentence, the depositary shall notify ADR holders that their ADSs have been cancelled with no consideration being payable to such ADR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depositary’s compliance with the provisions of any of the above three paragraphs, the depositary and its agents shall be discharged from all, and cease to have any, obligations under the deposit agreement and the ADRs.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connection with any termination in accordance with the provisions in this section, the depositary may, in its sole discretion and without notice to us, establish an unsponsored American depositary share program (on such terms as the depositary may determine) for our ordinary shares and make available to ADR holders a means to withdraw the ordinary shares represented by the ADSs issued under the deposit agreement and to direct the deposit of such ordinary shares into such unsponsored American depositary share program, subject, in each case, to receipt by the depositary, at its discretion, of the fees, charges and expenses provided for in the ADR and the fees, charges and expenses applicable to the unsponsored American depositary share program; provided that the depositary agrees that we will have no liability for the establishment of such unsponsored American depositary share program.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ordinary shares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holders entitled thereto. After making such sale, the depositary shall be discharged from all obligations in respect of the deposit agreement and the ADRs, except to account for such net proceeds and other cash.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obligations and liability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ADR holders, beneficial owners and others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issue, registration, registration of transfer, split-up, combination, or cancellation of any ADRs, or the delivery of any distribution in respect thereof, and from time to time in the case of the production of proofs, we or the depositary or its custodian may require: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payment with respect thereto of (1) any stock transfer or other tax or other governmental charge, (2) any stock transfer or registration fees in effect for the registration of transfers of ordinary shares or other deposited securities upon any applicable register and (3) any applicable fees and expenses described in the deposit agreement;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production of proof satisfactory to it of (1) the identity of any signatory and genuineness of any signature and (2)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compliance with such regulations as the depositary may establish consistent with the deposit agreement or as the depositary believes are required, necessary or advisable in order to comply with applicable laws, rules and regulations.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ADRs, the acceptance of deposits of ordinary shares, the registration, registration of transfer, split-up or combination of ADRs or the withdrawal of ordinary shares, may be suspended, generally or in particular instances, when the ADR register or any register for deposited securities is closed or when any such action is deemed required, necessary or advisable by the depositary for any reason provided that the ability to withdraw ordinary shares may only be limited under the following circumstances: (1) temporary delays caused by closing transfer books of the depositary or our transfer books or the deposit of ordinary shares in connection with voting at a shareholders’ meeting, or the payment of dividends, (2) the payment of fees, taxes, and similar charges, and (3) compliance with any laws or governmental regulations relating to ADRs or to the withdrawal of deposited securities. The depositary may close the ADR register (and/or any portion thereof) at any time or from time to time when deemed expedient by it. Additionally, at our reasonable request, the depositary may close the issuance book portion of the ADR register solely in order to enable us to comply with applicable law; provided that the depositary will have no liability and will be indemnified by us in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the obligations and liability of the depositary, the depositary’s custodian or ourselves and each of our and their respective directors, officers, employees, agents and affiliates, provided, however, that no provision of the deposit agreement is intended to constitute a waiver or limitation of any rights that ADR holders or beneficial owners may have under the Securities Act or the Exchange Act, to the extent applicable. The deposit agreement provides that each of us, the depositary and our respective directors, officers, employees, agents and affiliates will: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incur or assume no liability (including, without limitation, to ADR holders or beneficial owners) if any present or future law, rule, regulation, fiat, order or decree of the United States, the Cayman Islands, the PRC or any other country or jurisdiction, or of any governmental or regulatory authority or any securities exchange or market or automated quotation system, the provisions of or governing any deposited securities, any present or future provision of our memorandum and articles of association, any act of God, war, terrorism, epidemic, pandemic, nationalization, expropriation, currency restrictions, extraordinary market conditions, work stoppage, strike, civil unrest, revolutions, rebellions, explosions, cyber, ransomware or malware attack, computer failure or circumstance our, the depositary’s or our respective directors’, officers’, employees’, agents’ or affiliates’ direct and immediate control shall prevent or delay, or shall cause any of them to be subject to any civil or criminal penalty in connection with, any act which the deposit agreement or the ADRs provide shall be done or performed by any such party (including, without limitation, voting);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incur or assume no liability (including, without limitation, to ADR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incur or assume no liability (including, without limitation, to holders or beneficial owners) if it performs its obligations specifically set forth in the deposit agreement and ADRs without gross negligence or willful misconduct;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 the case of the depositary and its agents, be under no obligation to appear in, prosecute or defend any action, suit or other proceeding in respect of any deposited securities the ADSs or the ADRs;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in the case of us and our agents, be under no obligation to appear in, prosecute or defend any action, suit or other proceeding in respect of any deposited securities the ADSs or the ADRs, which in our or our agents’ opinion, as the case may be, may involve us in expense or liability, unless indemnity satisfactory to us or our agent, as the case may be, against all expense (including fees and disbursements of counsel) and liability is furnished as often as may be requested;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not be liable (including, without limitation, to ADR holders or beneficial owners) for any action or inaction by it in reliance upon the advice of or information from any legal counsel, any accountant, any person presenting ordinary shares for deposit, any registered holder of ADRs, or any other person believed by it to be competent to give such advice or information and/or, in the case of the depositary, from us; or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be able to rely and shall be protected in acting upon any written notice, request, direction, instruction or document believed by it to be genuine and to have been signed, presented or given by the proper party or parties.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a fiduciary or have any fiduciary duty to ADR holders or beneficial owners.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(1) committed fraud or willful misconduct in the provision of custodial services to the depositary or (2)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our company.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no obligation to inform ADR holders or beneficial owners about the requirements of the laws, rules or regulations or any changes therein or thereto of the Cayman Islands, the PRC, the United States or any other country or jurisdiction or of any governmental or regulatory authority or any securities exchange or market or automated quotation system.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none of the depositary, the custodian or us, or any of their or our respective directors, officers, employees, agents or affiliates shall be liable for the failure by any registered holder of ADRs or beneficial owner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us, the depositary, the custodian or any of our or their respective directors, officers, employees, agents or affiliates shall incur any liability for any tax or tax consequences that may be incurred by registered ADR holders or beneficial owners on account of their ownership or disposition of ADRs or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 The depositary shall not incur any liability in connection with or arising from any failure, inability or refusal by us or any other party, including any share registrar, transfer agent or other agent appointed by us, the depositary or any other party, to process any transfer, delivery or distribution of cash, ordinary shares, other securities or other property, including without limitation upon the termination of the deposit agreement, or otherwise to comply with any provisions of the deposit agreement that are applicable to it.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us, nor any of their or our respective agents shall be liable to the other for any indirect, special, punitive or consequential damages (excluding reasonable fees and expenses of counsel) or lost profits, in any form, or Special Damages, incurred by any of them or us,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 (i) notwithstanding the foregoing, the depositary and its agents will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us for all such Special Damages, and reasonable fees and expenses of counsel in connection therewith, unless such Special Damages are found to have been a direct result of the gross negligence or willful misconduct of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may own and deal in any class of securities of ours and our affiliates and in ADSs.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interest in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Books of depositary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or its agent maintains a register for the registration, registration of transfer, combination, split-up, substitution and cancellation of ADRs, which register shall include the depositary’s direct registration system. Registered holders of ADRs may inspect such records at the depositary’s office at all reasonable times, but solely for the purpose of communicating with other ADR holders in the interest of our business or a matter relating to the deposit agreement. Such register (and/or any portion thereof) may be closed at any time or from time to time, when deemed expedient by the depositary.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facilities for the delivery and receipt of ADRs.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850" w:type="dxa"/>
            <w:tcBorders/>
            <w:vAlign w:val="center"/>
          </w:tcPr>
          <w:p>
            <w:pPr>
              <w:pStyle w:val="TableContents"/>
              <w:bidi w:val="0"/>
              <w:spacing w:before="0" w:after="283"/>
              <w:jc w:val="both"/>
              <w:rPr>
                <w:sz w:val="20"/>
              </w:rPr>
            </w:pPr>
            <w:r>
              <w:rPr>
                <w:sz w:val="20"/>
              </w:rPr>
              <w:t>be a party to and bound by the terms of the deposit agreement and the applicable ADR or ADRs,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acknowledge and agree that (1) nothing in the deposit agreement or any ADR shall give rise to a partnership or joint venture among the parties thereto, nor establish a fiduciary or similar relationship among such parties, (2) the depositary, its divisions, branches and affiliates, and their respective agents, may from time to time be in the possession of non-public information about us, ADR holders, beneficial owners and/or their respective affiliates, (3) the depositary and its divisions, branches and affiliates may at any time have multiple banking relationships with us, ADR holders, beneficial owners and/or the affiliates of any of them, (4) the depositary and its divisions, branches and affiliates may, from time to time, be engaged in transactions in which parties adverse to us, ADR holders, or beneficial owners may have interests, (5)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(6) the depositary shall not be deemed to have knowledge of any information held by any branch, division or affiliate of the depositary and (7)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to jurisdiction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have appointed an agent for service of process on our behalf. Any action based on the deposit agreement, the ADSs, the ADRs or the transactions contemplated therein or thereby may be instituted by the depositary against us in the state or federal courts in New York, New York or any competent court in the Cayman Islands, the United States and/or any other court of competent jurisdiction.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by holding or owning an ADR or ADS or an interest therein, holders and beneficial owners each irrevocably agree that (1) any legal suit, action or proceeding against or involving holders or beneficial owners brought by us or the depositary, arising out of or based upon the deposit agreement, the ADSs, the ADRs or the transactions contemplated therein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 and (2) any legal suit, action or proceeding against or involving us and/or the depositary brought by holders or beneficial owners, arising out of or based upon the deposit agreement, the ADSs, the ADRs or the transactions contemplated therein or thereby, including, without limitation, claims under the Securities Act and the Exchange Act, may only be instituted only in the United States District Court for the Southern District of New York (or in the state courts of New York County in New York if either (a) the United States District Court for the Southern District of New York lacks subject matter jurisdiction over the particular dispute or (b) the designation of the United States District Court for the Southern District of New York as the exclusive forum for the particular dispute is, or becomes, invalid, illegal or unenforceable). In the deposit agreement each holder and beneficial owner irrevocably waives any objection which it may at any time have to the laying of venue of any such proceeding, and irrevocably submits to the jurisdiction of such courts in any such suit, action or proceeding. Additionally, by holding or owning an ADR or ADS or an interest therein, holders and beneficial owners acknowledge and agree that they will not be able to commence or pursue any legal suit, action or proceeding against the depositary or its agents in any jurisdiction other than as described in this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deposit agreement to the contrary, by directly or indirectly holding or owing an ADR or ADS or an interest therein, holders and beneficial owners each agree that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by having such dispute referred to and finally resolved by an arbitration; provided, however, to the extent there are specific federal securities law violation aspects to any claims against us and/or the depositary, such specific, and only such specific, claims may be brought by any holder or beneficial owner in the United States District Court for the Southern District of New York (or in the state courts of New York County in New York if either (i) the United States District Court for the Southern District of New York lacks subject matter jurisdiction over the particular dispute or (ii) the designation of the United States District Court for the Southern District of New York as the exclusive forum for the particular dispute is, or becomes, invalid, illegal or unenforceable) and all other aspects, claims, disputes, legal suits, actions and/or proceedings brought by such holder or beneficial owner, including those brought along with, or in addition to, federal securities law violation claims, would be referred to, or remain in arbitration.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all cases, the fees of the arbitrators and other costs incurred by the parties in connection with such arbitration shall be paid by the party (or parties) that is (or are) unsuccessful in such arbitration. Holders and beneficial owners shall not be entitled to join or consolidate disputes by or against others in any arbitration, or to include in any arbitration any dispute as a representative or member of a class, or act in any arbitration in the interest of the general public or in a private attorney general capacity.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Jury trial waiver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ordinary shares or other deposited securities, the ADSs or the ADRs, the deposit agreement or any transaction contemplated therein, or the breach thereof (whether based on contract, tort, common law or any other theory), including any claim under the U.S. federal securities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trial by jury. The waiver to right to a trial by jury in the deposit agreement is not intended to be deemed a waiver by any holder or beneficial owner of our or the depositary’s compliance with any provisions of U.S. federal securities laws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between ordinary shares and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Dealings and settlement of ordinary shares in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Dealings in our ordinary shares on the HKEx are conducted in Hong Kong dollars. Our ordinary shares are traded on the HKEx in board lots of 100 ordinary shares. The transaction costs of dealings in our ordinary shares on the HKEx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Hong Kong Stock Exchange trading fee of 0.005% of the consideration of the transaction, charged to each of the buyer and seller; </w:t>
            </w:r>
          </w:p>
        </w:tc>
      </w:tr>
    </w:tbl>
    <w:p>
      <w:pPr>
        <w:pStyle w:val="TextBody"/>
        <w:bidi w:val="0"/>
        <w:spacing w:before="0" w:after="0"/>
        <w:ind w:left="720" w:right="0" w:hanging="36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110" w:type="dxa"/>
            <w:tcBorders/>
            <w:vAlign w:val="center"/>
          </w:tcPr>
          <w:p>
            <w:pPr>
              <w:pStyle w:val="TableContents"/>
              <w:bidi w:val="0"/>
              <w:spacing w:before="0" w:after="283"/>
              <w:jc w:val="both"/>
              <w:rPr>
                <w:sz w:val="20"/>
              </w:rPr>
            </w:pPr>
            <w:r>
              <w:rPr>
                <w:sz w:val="20"/>
              </w:rPr>
              <w:t>SFC transaction levy of 0.0027% of the consideration of the transaction, charged to each of the buyer and seller;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Accounting and Financial Reporting Council transaction levy of 0.00015% of the consideration of the transaction, charged to each of the buyer and seller;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Trading tariff of HK$0.50 on each and every purchase or sale transaction. The decision on whether or not to pass the trading tariff onto investors is at the discretion of brokers; </w:t>
            </w:r>
          </w:p>
        </w:tc>
      </w:tr>
    </w:tbl>
    <w:p>
      <w:pPr>
        <w:pStyle w:val="TextBody"/>
        <w:bidi w:val="0"/>
        <w:spacing w:before="0" w:after="0"/>
        <w:ind w:left="720" w:right="0" w:hanging="36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505" w:type="dxa"/>
            <w:tcBorders/>
            <w:vAlign w:val="center"/>
          </w:tcPr>
          <w:p>
            <w:pPr>
              <w:pStyle w:val="TableContents"/>
              <w:bidi w:val="0"/>
              <w:spacing w:before="0" w:after="283"/>
              <w:jc w:val="both"/>
              <w:rPr>
                <w:sz w:val="20"/>
              </w:rPr>
            </w:pPr>
            <w:r>
              <w:rPr>
                <w:sz w:val="20"/>
              </w:rPr>
              <w:t>Transfer deed stamp duty of HK$5.00 per transfer deed (if applicable), payable by the seller;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Ad valorem stamp duty at a total rate of 0.2% of the value of the transaction, with 0.1% payable by each of the buyer and the seller;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Stock settlement fee, which is currently 0.002% of the gross transaction value, subject to a minimum fee of HK$2.00 and a maximum fee of HK$100.00 per side per trade;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Brokerage commission, which is freely negotiable with the broker (other than brokerage commissions for IPO transactions which are currently set at 1% of the subscription or purchase price and will be payable by the person subscribing for or purchasing the securities); and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Charge by the Hong Kong share registrar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must settle their trades executed on the HKEx through their brokers directly or through custodians. For an investor who has deposited his/her ordinary shares in his/her stock account or in his/her designated CCASS (“Central Clearing and Settlement System”) Participant’s stock account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his/her broker or custodian before the settlement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arrange with his/her broker or custodian on a settlement date in respect of his/her trades executed on the HKEx. Under the Hong Kong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trade on Nasdaq. Dealings in the ADSs are conducted in U.S. Dollars. ADSs may be held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Directly: (1) by having an ADR which is a certificate evidencing a specific number of ADSs, registered in the holder’s name; or (2) by having uncertified ADSs in the direct registration system, which is a system administered by the DTC; or </w:t>
            </w:r>
          </w:p>
        </w:tc>
      </w:tr>
    </w:tbl>
    <w:p>
      <w:pPr>
        <w:pStyle w:val="TextBody"/>
        <w:bidi w:val="0"/>
        <w:spacing w:before="0" w:after="0"/>
        <w:ind w:left="720" w:right="0" w:hanging="36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700" w:type="dxa"/>
            <w:tcBorders/>
            <w:vAlign w:val="center"/>
          </w:tcPr>
          <w:p>
            <w:pPr>
              <w:pStyle w:val="TableContents"/>
              <w:bidi w:val="0"/>
              <w:spacing w:before="0" w:after="283"/>
              <w:jc w:val="both"/>
              <w:rPr>
                <w:sz w:val="20"/>
              </w:rPr>
            </w:pPr>
            <w:r>
              <w:rPr>
                <w:sz w:val="20"/>
              </w:rPr>
              <w:t>Indirectly, through a broker or other financial institution.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the ADSs is JPMorgan Chase Bank, N.A., whose principal executive office is located at 383 Madison Avenue, Floor 11, New York, NY 10179.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Depositing ordinary shares trading in Hong Kong for delivery of ADSs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who holds ordinary shares registered in Hong Kong and who wishes to receive delivery of ADSs to trade on Nasdaq must deposit or have his or her broker deposit the ordinary shares with the Depositary’s Hong Kong custodian in exchange for ADSs. A deposit of ordinary shares trading in Hong Kong in exchange for ADSs involves the following procedures: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ordinary shares have been deposited with CCASS, the investor must transfer ordinary shares to the depositary’s account with the custodian within CCASS by following the CCASS procedures for transfer and submit and deliver a duly completed and signed letter of transmittal to the custodian via his or her broker.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ordinary shares are held outside CCASS, the investor must arrange to deposit his or her ordinary shares into the CCASS for delivery to the depositary’s account with the custodian within CCASS, and must submit and deliver a duly completed and signed letter of transmittal to the custodian via his or her broker.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Upon payment of its fees and expenses, payment or net of the depositary’s fees and expenses, and payment of any taxes or charges, such as stamp taxes or stock transfer taxes or fees, if applicable, and subject in all cases to the terms of the deposit agreement, the depositary will register the corresponding number of ADSs in the name(s) requested by an investor and will deliver the ADSs to the designated DTC account of the person(s) designated by an investor or his or her broker if such ADSs are to be held in book-entry form through DTC’s “Direct Registration System.”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Surrender of ADSs for delivery of ordinary shares trading in Hong Kong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who holds ADSs and who wishes to receive ordinary shares that trade on the HKEx must cancel the ADSs the investor holds, withdraw ordinary shares from the ADS program and cause his or her broker or other financial institution to trade such ordinary shares on the HKEx.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that holds ADSs indirectly through a broker or other financial institution should follow the procedure of the broker or financial institution and instruct the broker to arrange for cancelation of the ADSs and transfer of the underlying ordinary shares from the depositary’s account with the custodian within the CCASS system to the investor’s Hong Kong stock account. For investors holding ADSs directly, the following steps must be taken: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withdraw ordinary shares from the ADS program, an investor who holds ADSs may turn in such ADSs at the office of the depositary (and the applicable ADR(s) if the ADSs are held in certificated form), and send an instruction to cancel such ADSs to the depositary.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Upon payment or net of its fees, payment of CCASS’ fees and expenses, and payment of expenses and of any taxes or charges, such as stamp taxes or stock transfer taxes or fees, if applicable, and subject in all cases to the terms of the deposit agreement, the depositary will instruct the custodian to deliver ordinary shares underlying the canceled ADSs to the CCASS account designated by an investor.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an investor prefers to receive ordinary shares outside CCASS, he or she must receive ordinary shares in CCASS first and then arrange for withdrawal from CCASS. Investors can then obtain a transfer form signed by HKSCC Nominees Limited (as the transferor) and register ordinary shares in their own names with the Hong Kong share registrar.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ordinary shares to be received in CCASS, under normal circumstances, the above steps generally require two business days, provided that the investor has provided timely and complete instructions.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ordinary shares to be received outside CCASS in physical form, the above steps may take 14 business days, or more, to complete. The investor will be unable to trade the ordinary shares on the HKEx until the procedures are completed.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delays may arise. For example, the transfer books of the depositary may from time to time be closed to ADS cancelations. In addition, completion of the above steps and procedures for delivery for ordinary shares in a CCASS account is subject to there being a sufficient number of ordinary shares on the Hong Kong share register to facilitate a withdrawal from the ADS program directly into the CCASS. We are not under any obligation to maintain or increase the number of ordinary shares on the Hong Kong share register to facilitate such withdrawals.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delivers ADSs or permits withdrawal of ordinary shares, the depositary may require: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payment of all amounts required pursuant to the deposit agreement, including the issuance and cancellation fees therein, any stock transfer or other tax or other governmental charges and any stock transfer or registration fees in effect;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production of satisfactory proof of the identity and genuineness of any signature or other information it deems necessary; and </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compliance with procedures it may establish, from time to time, consistent with the deposit agreement, including completion and presentation of transfer documents.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transfer, or register issuances, transfers, and cancellations of ADSs generally when the transfer books of the depositary or our Hong Kong share registrar or Cayman Islands share registrar are closed or at any time if the depositary or we determine it advisable to do so, subject to such refusal complying with U.S. federal securities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attributable to the transfer of ordinary shares to effect a withdrawal from or deposit of ordinary shares into the ADS program will be borne by the investor requesting the transfer. In particular, holders of ordinary shares and ADSs should note that 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ordinary shares and ADSs must pay up to US$5.00 per 100 ADSs (or portion thereof) for each issuance of ADSs and each cancelation of ADSs, as the case may be, in connection with the deposit of ordinary shares into, or withdrawal of ordinary shares from, the ADS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Cayman Islands, PRC and U.S. federal income tax considerations related to the purchase, ownership and disposition of any of the securities offered by this prospectus will be set forth in the prospectus supplement pertaining to those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a_011"/>
      <w:bookmarkEnd w:id="12"/>
      <w:r>
        <w:rPr>
          <w:rFonts w:ascii="Times New Roman;Times;Serif" w:hAnsi="Times New Roman;Times;Serif"/>
          <w:b/>
          <w:i w:val="false"/>
          <w:caps w:val="false"/>
          <w:smallCaps w:val="false"/>
          <w:sz w:val="20"/>
        </w:rPr>
        <w:t>MATERIAL CHANGES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or otherwise described in our Annual Report on Form 20-F for the fiscal year ended December 31, 2025, and in our Reports on Form 6-K incorporated by reference into this prospectus, no reportable material changes have occurred since December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indicates otherwise, the validity of our ordinary shares, including ordinary shares represented by the ADSs, and certain other matters governed by the laws of the Cayman Islands will be passed on for us by Walkers (Hong Kong). Certain legal matters as to PRC law will be passed upon for us by JunHe LLP. Unless otherwise indicated in any prospectus supplement, DLA Piper LLP (US), Washington D.C., will be representing us in regards to certain matters governed by U.S. law in connection with any offering. Additional legal matters may be passed upon for any underwriters, dealers or agents by counsel that we will name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Ascentage Pharma Group International appearing in Ascentage Pharma Group International’s Annual Report (Form 20-F) for the year ended December 31, 2025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 of Ernst &amp; Young Hua Ming LLP is located at 50/F, Shanghai World Financial Center, 100 Century Avenue, Pudong New Area, Shanghai, the People’s Republic of China.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to take advantage of certain benefits associated with being a Cayman Islands exempted company, such as: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pPr>
            <w:r>
              <w:rPr/>
              <w:t>political and economic stability;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8"/>
        <w:gridCol w:w="9462"/>
      </w:tblGrid>
      <w:tr>
        <w:trPr/>
        <w:tc>
          <w:tcPr>
            <w:tcW w:w="13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pPr>
            <w:r>
              <w:rPr/>
              <w:t>●</w:t>
            </w:r>
          </w:p>
        </w:tc>
        <w:tc>
          <w:tcPr>
            <w:tcW w:w="9462" w:type="dxa"/>
            <w:tcBorders/>
            <w:vAlign w:val="center"/>
          </w:tcPr>
          <w:p>
            <w:pPr>
              <w:pStyle w:val="TableContents"/>
              <w:bidi w:val="0"/>
              <w:spacing w:before="0" w:after="283"/>
              <w:jc w:val="left"/>
              <w:rPr/>
            </w:pPr>
            <w:r>
              <w:rPr/>
              <w:t>an effective judicial system;</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left"/>
              <w:rPr/>
            </w:pPr>
            <w:r>
              <w:rPr/>
              <w:t>a favorable tax system;</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left"/>
              <w:rPr/>
            </w:pPr>
            <w:r>
              <w:rPr/>
              <w:t>the absence of exchange control or currency restrictions;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left"/>
              <w:rPr/>
            </w:pPr>
            <w:r>
              <w:rPr/>
              <w:t>the availability of professional and support services.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and substantially all of our assets are located in China. Most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persons, or to enforce against us or them judgments obtained in U.S.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Ascentage Pharma Group Inc., located at 700 King Farm Boulevard, Suite 510, Rockville, MD 20850 as our agent upon whom process may be served in any action brought against us under the securities laws of the United States. Walkers (Hong Kong), our legal counsel as to Cayman Islands law, and JunHe LLP, our legal counsel as to PRC law, have advised us, respectively, that there is uncertainty as to whether the courts of the Cayman Islands and the PRC, respectively,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recognize or enforce judgments of U.S.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entertain original actions brought in the Cayman Islands or China against us or our directors or officers predicated upon the securities laws of the United States or any state in the United States.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with regard to Cayman Islands law relating to whether a judgment obtained from the United States courts under civil liability provisions of the securities laws will be determined by the courts of the Cayman Islands as penal or punitive in nature. The courts of the Cayman Islands may not recognize or enforce the judgment against a Cayman Islands company, and because the courts of the Cayman Islands have yet to rule on whether such judgments are penal or punitive in nature, it is uncertain whether such judgments from the U.S. courts would be enforceable in the Cayman Islands. Walkers (Hong Kong) has advised us that the courts of the Cayman Islands would recognize as a valid judgment, a final and conclusive judgment in personam obtained in the federal or state courts of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JunHe LLP has further advised us that the recognition and enforcement of foreign judgments are provided for under the PRC Civil Procedures Law and other applicable laws and regulations.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suit. The PRC court will determine whether to accept the complaint in accordance with the PRC Civil Procedures Law and PRC Law on the Application of Laws to Foreign-related Civil Relations. Foreign citizens and companies will have the same rights as PRC citizens and companies in an action unless the home jurisdiction of such foreign citizens or companies restricts the rights of PRC citizens and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Hong Kong,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that contains reports and information statements and other information about issuers, such as us, who file electronically with the SEC. The address of that website is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of which this prospectus forms a part.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website at www.ascentage.com through which you can access our SEC filings. The information set forth on our website is not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a_016"/>
      <w:bookmarkEnd w:id="17"/>
      <w:r>
        <w:rPr>
          <w:rFonts w:ascii="Times New Roman;Times;Serif" w:hAnsi="Times New Roman;Times;Serif"/>
          <w:b/>
          <w:i w:val="false"/>
          <w:caps w:val="false"/>
          <w:smallCaps w:val="false"/>
          <w:sz w:val="20"/>
        </w:rPr>
        <w:t>INCORPORATION OF CERTAIN INFORMATION BY REFERENCE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SEC file number for the documents incorporated by reference in this prospectus is 001-42484.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document: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20-F</w:t>
              </w:r>
            </w:hyperlink>
            <w:r>
              <w:rPr/>
              <w:t xml:space="preserve"> for the year ended December 31, 2025, filed with the SEC on April 29, 2026; </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future reports on Form 6-K that we furnish to the SEC after this prospectus that are identified in such reports as being incorporated by reference in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ADSs representing our ordinary shares contained in our Registration Statement on </w:t>
            </w:r>
            <w:hyperlink r:id="rId4">
              <w:r>
                <w:rPr>
                  <w:rStyle w:val="InternetLink"/>
                </w:rPr>
                <w:t>Form F-6</w:t>
              </w:r>
            </w:hyperlink>
            <w:r>
              <w:rPr/>
              <w:t xml:space="preserve"> filed with the SEC on January 16, 2025, including any amendments or reports filed for the purpose of updating such description;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the extent permitted by applicable securities law, any other documents which we elect to incorporate by reference into this prospectus.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any offering of securities under this prospectus. In all cases, you should rely on the later information over different information included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Ascentage Pharma Group Inc., 68 Xinqing Road, Suzhou Industrial Park, Suzhou, Jiangsu, China, telephone: +1 (301) 291-5658. You may also access these documents on our website, www.ascentage.com.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7145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714500" cy="647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American Depositary Shares representing 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714500" cy="647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$200,000,000</w:t>
        <w:br/>
        <w:t xml:space="preserve">American Depositary Shares representing Ordinary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(the “Sales Agreement”), with Citigroup Global Markets Inc. (“Citigroup”), Deutsche Bank AG, Hong Kong Branch (“Deutsche Bank”), and BTIG, LLC (“BTIG”), as sales agents and/or principals (each, a “Sales Agent,” and collectively, the “Sales Agents”), relating to the sale of American Depositary Shares, or ADSs, each ADS representing four ordinary shares, offered by this prospectus. In accordance with the terms of the Sales Agreement, we may offer and sell ADSs having an aggregate offering price of up to $200.0 million from time to time through the Sales Agents.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Global Market under the symbol “AAPG”. On July 16, 2026, the last reported sale price of the ADSs was $20.40 per ADS. Our ordinary shares are listed on The Stock Exchange of Hong Kong (the “HKEx”) under the stock code “6855.” On July 16, 2026, the closing price of our ordinary shares on the HKEx was HK$39.34 per ordinary share, equivalent to a price of US$20.07 per ADS, assuming an exchange rate of HK$7.84 to US$1.00, which is the exchange rate set forth for cable transfers in the City of New York, as certified by the Federal Reserve Bank of New York, on July 16,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ADSs, if any, under this prospectus will be made by any method that is deemed to be an “at the market offering” as defined in Rule 415(a)(4) under the Securities Act of 1933, as amended, or the Securities Act or any other method permitted by applicable law. The Sales Agents are not required to sell any specific number or dollar amount of securities, but will act as sales agent and use commercially reasonable efforts to arrange on our behalf for the sale of all ADSs requested to be sold by us, consistent with its normal sales and trading practices, on mutually agreed terms between us and the Sales Agents. There is no arrangement for funds to be received in any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Agents a commission up to 3.0% of the gross sales price per ADS sold under the Sales Agreement. See “Plan of Distribution” beginning on page S-26 of this prospectus for additional information. In connection with the sale of the ADSs on our behalf, each of the Sales Agents may be deemed to be an “underwriter” within the meaning of the Securities Act, and the compensation of the Sales Agents may be deemed to be underwriting commissions or discounts. We have agreed to indemnify the Sales Agents against certain liabilities, including liabilities under the Securities Act or the Securities Exchange Act of 1934, as amended (the “Exchange Act”). We have also agreed to contribute to payments the Sales Agents may be required to make in respect of such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(“Ascentage Pharma”) is not a Chinese operating company but rather a Cayman Islands exempted company that conducts operations in multiple countries, including the People’s Republic of China (the “PRC”), Australia and the United States through its subsidiaries, including Suzhou Ascentage Pharmaceutical Co., Ltd, a limited liability company incorporated in the PRC, Guangzhou Healthquest Pharma Co., Ltd., a limited liability company incorporated in the PRC (“Healthquest Pharma”), Shenghe Inno Bio, a limited liability company incorporated in the PRC, Shanghai Centagen Bio Co., Ltd., a limited liability company incorporated in the PRC, Ascentage Pharma Pty Limited, a limited liability company incorporated in Australia, and Ascentage Pharma Group Inc., a corporation incorporated in Delaware. Our operations in the PRC are primarily conducted through our PRC subsidiaries. Under this holding company structure, investors in the ADSs are purchasing equity interests in the Cayman Islands exempted company and obtaining indirect ownership interests in the operating companies, including the PRC operating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holding company structure involves unique risks to investors and investors may never hold equity interests in our operating companies, including the PRC operating companies. While we do not operate in an industry that is currently subject to foreign ownership limitations in the PRC, PRC regulatory authorities could decide to limit foreign ownership in our industry in the future, in which case there could be a risk that we would be unable to do business in the PRC as we are currently structured. In such event, despite our efforts to restructure to comply with the then applicable PRC laws and regulations in order to continue our operations in the PRC, we may experience material changes in our business and results of operations, our attempts may prove to be futile due to factors beyond our control and the value of the ADSs you invest in may significantly decline or become worthless. While our current corporate structure is not a variable interest entity (“VIE”) structure and we have no intention to rely on a VIE structure in our PRC operations, if the PRC laws and regulations were to change in the future, such changes may result in adverse changes in our operations, and the ADSs may decline significantly in value. See the section titled “Risk Factors”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business and operations is conducted in the PRC through our subsidiaries and thus we are exposed to legal and operational risks associated with operations in the PRC. The PRC government has significant authority to exert influence on the ability of a company with operations in the PRC to conduct its business. The PRC government exerts significant oversight and discretion over the conduct of our business and may intervene with or influence our operations as the government deems appropriate to further regulatory, political and societal goals. The PRC government has recently published new policies that significantly affected certain industries, and we cannot rule out the possibility that it will in the future release regulations or policies regarding our industry that could result in a material change in our operations or the value of our securities, significantly limit or completely hinder our ability to offer or continue to offer securities to investors, or cause the value of our securities to significantly decline or become worthless. Recent policy statements and regulatory actions by the PRC government, such as those related to human genetic data, biopharmaceutical, cybersecurity, data privacy and cross-border data flows may adversely impact our ability to conduct our business and research and development activities, accept foreign investments, or list on a U.S. or other foreign stock exchange, which may cause our securities to be prohibited from trading or to be delisted from Nasdaq or any other U.S. stock exchange.</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40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rules and regulations in China can change quickly with little advance notice. The PRC government has recently indicated an intent to exert more oversight and control over overseas securities offerings and other capital markets activities and foreign investment in China-based companies. On February 17, 2023, the China Securities Regulatory Commission (the “CSRC”) promulgated the Trial Administrative Measures of Overseas Securities Offering and Listing by Domestic Companies (the “Trial Measures”) and relevant notes and supporting guidelines, which became effective on March 31, 2023. Pursuant to the Trial Measures, PRC domestic companies that seek to offer and list securities in overseas markets, either in direct or indirect means, are required to fulfill the filing procedure with the CSRC and report relevant information. The Trial Measures provide that if the issuer meets both of the following criteria, the overseas securities offering and listing conducted by such issuer will be deemed an indirect overseas offering by a PRC domestic company: (1) 50% or more of any of the issuer’s operating revenue, total profit, total assets or net assets as documented in its audited consolidated financial statements for the most recent fiscal year is accounted for by PRC domestic companies; and (2) the main parts of the issuer’s business activities are conducted in mainland China, its main place(s) of business are located in mainland China or the majority of senior management staff in charge of its business operations and management are PRC citizens or have their usual place(s) of residence located in mainland China.</w:t>
      </w:r>
    </w:p>
    <w:p>
      <w:pPr>
        <w:pStyle w:val="TextBody"/>
        <w:bidi w:val="0"/>
        <w:spacing w:before="0" w:after="0"/>
        <w:ind w:left="0" w:right="0" w:firstLine="40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also state that any post-listing follow-on offering by an issuer in the same overseas market, including issuance of shares, convertible notes and other similar securities, shall be subject to the filing requirements within three business days after the completion of the offering. Therefore, any future offerings and listings of our securities in an overseas market shall be subject to the filing requirements under the CSRC Filing Rules. As such, we are required to submit a filing to CSRC within three business days after the completion of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potential action taken by the PRC government to exert more oversight and control over overseas securities offerings and other capital markets activities and foreign investment in China-based companies, once taken by the PRC government, could significantly limit or completely hinder our ability to offer or continue to offer securities to investors and cause the value of such securities to significantly decline, or, in extreme cases, become worthless. See the section titled “Risk factors–Risks related to doing business in the PRC” in our most recent Annual Report on Form 20-F, which is incorporated by reference in this prospectus. In addition, our ability to pay dividends partially depends upon dividends paid by our PRC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as amended by the Consolidated Appropriations Act, 2023 (the “HFCAA”), if the U.S. Securities and Exchange Commission (the “SEC”) determines that we have filed audit reports issued by a registered public accounting firm that has not been subject to inspection by the Public Company Accounting Oversight Board (the “PCAOB”) for two consecutive years, the SEC will prohibit our ordinary shares or ADSs from being traded on a national securities exchange or in the over the counter trading market in the United States. On December 16, 2021, the PCAOB issued its report notifying the SEC of its determination that it was unable to inspect or investigate completely registered public accounting firms headquartered in mainland China or Hong Kong, including our auditor who is headquartered in mainland China.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were to determine in the future that it no longer has full access to inspect and investigate completely accounting firms in mainland China and Hong Kong, and if we were to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“Risk factors–Risks related to doing business in the PRC–The PCAOB has historically been unable to inspect our auditor in relation to their audit work and the inability of the PCAOB to conduct inspections over our auditor deprives our investors of the benefits of such inspections” and “Risk factors–Risks related to doing business in the PRC–If the PCAOB is unable to inspect or investigate completely our auditors located in China because of a position taken by a foreign authority and the SEC identifies the Company as a Commission-Identified Issuer under the Holding Foreign Companies Accountable Act for two consecutive years, the ADSs will be delisted and our ordinary shares and ADSs will be prohibited from trading on a national securities exchange or in the over-the-counter market under the Holding Foreign Companies Accountable Act. The delisting of the ADSs, or the threat of their being delisted, and a prohibition from trading, may materially and adversely affect the value of our ordinary shares”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transferred among Ascentage Pharma and our subsidiaries in the following manner: (1) funds are transferred to Ascentage Pharma’s subsidiaries from Ascentage Pharma as needed as capital contributions or shareholder loans, as the case may be; and (2) dividends or other distributions may be paid by our subsidiaries to Ascentage Pharma. Our subsidiaries generate and retain cash from operating activities and re-invest in their respective business. In the future, Ascentage Pharma’s ability to pay dividends, if any, to its shareholders and to service any debt it may incur will partially depend upon dividends paid by PRC subsidiaries. Apart from cash transferred in connection with paid-in capital and shareholder loans, no cash or other assets have been transferred between Ascentage Pharma and a subsidiary, no subsidiaries (including PRC subsidiaries) paid dividends or made other distributions to Ascentage Pharma, and no dividends or distributions were paid or made to U.S. investors. In the future, cash proceeds raised from financing activities may be transferred by Ascentage Pharma through our subsidiaries via capital contributions and shareholder loans, as the case may be, and our subsidiaries may pay dividends to their respective shareholders. Payment of dividends is subject to restrictions under the PRC law. Any limitation on the ability of our PRC subsidiaries to make payments to us could have a material and adverse effect on our ability to conduct our business. For a detailed discussion of applicable PRC regulations governing distribution of dividends, see “Item 4. Information on the Company—B. Business Overview—Government regulation—PRC regulation—PRC regulations relating to dividend distribution” in our most recent Annual Report on Form 20-F, which is incorporated by reference in this prospectus. In addition, the PRC government imposes regulations on the convertibility of Renminbi into foreign currencies and the remittance of funds out of China. Governmental regulations of currency conversion may limit our ability to pay dividends and other obligations and affect the value of your investment. See “Prospectus Summary–Cash Flows through Our Organization” and our consolidated financial statements included in our most recent Annual Report on Form 20-F, which is incorporated by reference in this prospectus. We currently intend to retain most, if not all, of our available funds and any future earnings to operate and expand our business. See “Dividends and Dividend Policy” in our most recent Annual Report on Form 20-F, which is incorporated by reference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under applicable SEC rules, we have elected to comply with certain reduced public company reporting and disclosure requirements. See “Prospectus Summary – Implications of Being an Emerging Growth Company” and “Prospectus Summary – Implications of Being a Foreign Private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on page S-10 of this prospectus and in the documents that are incorporated by reference into this prospectus.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tbl>
      <w:tblPr>
        <w:tblW w:w="2655" w:type="dxa"/>
        <w:jc w:val="left"/>
        <w:tblInd w:w="0" w:type="dxa"/>
        <w:tblLayout w:type="fixed"/>
        <w:tblCellMar>
          <w:top w:w="0" w:type="dxa"/>
          <w:left w:w="0" w:type="dxa"/>
          <w:bottom w:w="0" w:type="dxa"/>
          <w:right w:w="0" w:type="dxa"/>
        </w:tblCellMar>
      </w:tblPr>
      <w:tblGrid>
        <w:gridCol w:w="860"/>
        <w:gridCol w:w="1265"/>
        <w:gridCol w:w="530"/>
      </w:tblGrid>
      <w:tr>
        <w:trPr/>
        <w:tc>
          <w:tcPr>
            <w:tcW w:w="8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Citigroup</w:t>
            </w:r>
          </w:p>
        </w:tc>
        <w:tc>
          <w:tcPr>
            <w:tcW w:w="12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Deutsche Bank</w:t>
            </w:r>
          </w:p>
        </w:tc>
        <w:tc>
          <w:tcPr>
            <w:tcW w:w="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BTIG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5810"/>
        <w:gridCol w:w="1925"/>
        <w:gridCol w:w="410"/>
      </w:tblGrid>
      <w:tr>
        <w:trPr/>
        <w:tc>
          <w:tcPr>
            <w:tcW w:w="5810" w:type="dxa"/>
            <w:tcBorders/>
            <w:vAlign w:val="center"/>
          </w:tcPr>
          <w:p>
            <w:pPr>
              <w:pStyle w:val="TableContents"/>
              <w:bidi w:val="0"/>
              <w:spacing w:before="0" w:after="283"/>
              <w:jc w:val="left"/>
              <w:rPr/>
            </w:pPr>
            <w:r>
              <w:rPr/>
              <w:t> </w:t>
            </w:r>
          </w:p>
        </w:tc>
        <w:tc>
          <w:tcPr>
            <w:tcW w:w="23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Page </w:t>
            </w:r>
          </w:p>
        </w:tc>
      </w:tr>
      <w:tr>
        <w:trPr/>
        <w:tc>
          <w:tcPr>
            <w:tcW w:w="5810" w:type="dxa"/>
            <w:tcBorders/>
            <w:shd w:fill="CCEEFF" w:val="clear"/>
            <w:vAlign w:val="center"/>
          </w:tcPr>
          <w:p>
            <w:pPr>
              <w:pStyle w:val="TableContents"/>
              <w:bidi w:val="0"/>
              <w:spacing w:before="0" w:after="283"/>
              <w:jc w:val="left"/>
              <w:rPr/>
            </w:pPr>
            <w:hyperlink w:anchor="b_001">
              <w:r>
                <w:rPr>
                  <w:rStyle w:val="InternetLink"/>
                  <w:rFonts w:ascii="Times New Roman;Times;Serif" w:hAnsi="Times New Roman;Times;Serif"/>
                  <w:sz w:val="20"/>
                </w:rPr>
                <w:t>ABOUT THIS PROSPECTUS</w:t>
              </w:r>
            </w:hyperlink>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5810"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PRESENTATION OF FINANCIAL AND OTHER INFORMATION</w:t>
              </w:r>
            </w:hyperlink>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5810" w:type="dxa"/>
            <w:tcBorders/>
            <w:shd w:fill="CCEEFF" w:val="clear"/>
            <w:vAlign w:val="center"/>
          </w:tcPr>
          <w:p>
            <w:pPr>
              <w:pStyle w:val="TableContents"/>
              <w:bidi w:val="0"/>
              <w:spacing w:before="0" w:after="283"/>
              <w:jc w:val="left"/>
              <w:rPr/>
            </w:pPr>
            <w:hyperlink w:anchor="b_003">
              <w:r>
                <w:rPr>
                  <w:rStyle w:val="InternetLink"/>
                  <w:rFonts w:ascii="Times New Roman;Times;Serif" w:hAnsi="Times New Roman;Times;Serif"/>
                  <w:sz w:val="20"/>
                </w:rPr>
                <w:t>PROSPECTUS SUMMARY</w:t>
              </w:r>
            </w:hyperlink>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5810" w:type="dxa"/>
            <w:tcBorders/>
            <w:shd w:fill="FFFFFF" w:val="clear"/>
            <w:vAlign w:val="center"/>
          </w:tcPr>
          <w:p>
            <w:pPr>
              <w:pStyle w:val="TableContents"/>
              <w:bidi w:val="0"/>
              <w:spacing w:before="0" w:after="283"/>
              <w:jc w:val="left"/>
              <w:rPr/>
            </w:pPr>
            <w:hyperlink w:anchor="b_004">
              <w:r>
                <w:rPr>
                  <w:rStyle w:val="InternetLink"/>
                  <w:rFonts w:ascii="Times New Roman;Times;Serif" w:hAnsi="Times New Roman;Times;Serif"/>
                  <w:sz w:val="20"/>
                </w:rPr>
                <w:t>THE OFFERING</w:t>
              </w:r>
            </w:hyperlink>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5810" w:type="dxa"/>
            <w:tcBorders/>
            <w:shd w:fill="CCEEFF" w:val="clear"/>
            <w:vAlign w:val="center"/>
          </w:tcPr>
          <w:p>
            <w:pPr>
              <w:pStyle w:val="TableContents"/>
              <w:bidi w:val="0"/>
              <w:spacing w:before="0" w:after="283"/>
              <w:jc w:val="left"/>
              <w:rPr/>
            </w:pPr>
            <w:hyperlink w:anchor="b_005">
              <w:r>
                <w:rPr>
                  <w:rStyle w:val="InternetLink"/>
                  <w:rFonts w:ascii="Times New Roman;Times;Serif" w:hAnsi="Times New Roman;Times;Serif"/>
                  <w:sz w:val="20"/>
                </w:rPr>
                <w:t>RISK FACTORS</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5810" w:type="dxa"/>
            <w:tcBorders/>
            <w:shd w:fill="FFFFFF" w:val="clear"/>
            <w:vAlign w:val="center"/>
          </w:tcPr>
          <w:p>
            <w:pPr>
              <w:pStyle w:val="TableContents"/>
              <w:bidi w:val="0"/>
              <w:spacing w:before="0" w:after="283"/>
              <w:jc w:val="left"/>
              <w:rPr/>
            </w:pPr>
            <w:hyperlink w:anchor="b_006">
              <w:r>
                <w:rPr>
                  <w:rStyle w:val="InternetLink"/>
                  <w:rFonts w:ascii="Times New Roman;Times;Serif" w:hAnsi="Times New Roman;Times;Serif"/>
                  <w:sz w:val="20"/>
                </w:rPr>
                <w:t>SPECIAL NOTE REGARDING FORWARD-LOOKING STATEMENTS</w:t>
              </w:r>
            </w:hyperlink>
            <w:r>
              <w:rPr>
                <w:rFonts w:ascii="Times New Roman;Times;Serif" w:hAnsi="Times New Roman;Times;Serif"/>
                <w:sz w:val="20"/>
              </w:rPr>
              <w:t xml:space="preserve"> </w:t>
            </w:r>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5810" w:type="dxa"/>
            <w:tcBorders/>
            <w:shd w:fill="CCEEFF" w:val="clear"/>
            <w:vAlign w:val="center"/>
          </w:tcPr>
          <w:p>
            <w:pPr>
              <w:pStyle w:val="TableContents"/>
              <w:bidi w:val="0"/>
              <w:spacing w:before="0" w:after="283"/>
              <w:jc w:val="left"/>
              <w:rPr/>
            </w:pPr>
            <w:hyperlink w:anchor="b_007">
              <w:r>
                <w:rPr>
                  <w:rStyle w:val="InternetLink"/>
                  <w:rFonts w:ascii="Times New Roman;Times;Serif" w:hAnsi="Times New Roman;Times;Serif"/>
                  <w:sz w:val="20"/>
                </w:rPr>
                <w:t>USE OF PROCEEDS</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5810" w:type="dxa"/>
            <w:tcBorders/>
            <w:shd w:fill="FFFFFF" w:val="clear"/>
            <w:vAlign w:val="center"/>
          </w:tcPr>
          <w:p>
            <w:pPr>
              <w:pStyle w:val="TableContents"/>
              <w:bidi w:val="0"/>
              <w:spacing w:before="0" w:after="283"/>
              <w:jc w:val="left"/>
              <w:rPr/>
            </w:pPr>
            <w:hyperlink w:anchor="b_008">
              <w:r>
                <w:rPr>
                  <w:rStyle w:val="InternetLink"/>
                  <w:rFonts w:ascii="Times New Roman;Times;Serif" w:hAnsi="Times New Roman;Times;Serif"/>
                  <w:sz w:val="20"/>
                </w:rPr>
                <w:t>CAPITALIZATION AND INDEBTEDNESS</w:t>
              </w:r>
            </w:hyperlink>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S-16</w:t>
            </w:r>
          </w:p>
        </w:tc>
      </w:tr>
      <w:tr>
        <w:trPr/>
        <w:tc>
          <w:tcPr>
            <w:tcW w:w="5810" w:type="dxa"/>
            <w:tcBorders/>
            <w:shd w:fill="CCEEFF" w:val="clear"/>
            <w:vAlign w:val="center"/>
          </w:tcPr>
          <w:p>
            <w:pPr>
              <w:pStyle w:val="TableContents"/>
              <w:bidi w:val="0"/>
              <w:spacing w:before="0" w:after="283"/>
              <w:jc w:val="left"/>
              <w:rPr/>
            </w:pPr>
            <w:hyperlink w:anchor="b_009">
              <w:r>
                <w:rPr>
                  <w:rStyle w:val="InternetLink"/>
                  <w:rFonts w:ascii="Times New Roman;Times;Serif" w:hAnsi="Times New Roman;Times;Serif"/>
                  <w:sz w:val="20"/>
                </w:rPr>
                <w:t>DILUTION</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S-17</w:t>
            </w:r>
          </w:p>
        </w:tc>
      </w:tr>
      <w:tr>
        <w:trPr/>
        <w:tc>
          <w:tcPr>
            <w:tcW w:w="5810" w:type="dxa"/>
            <w:tcBorders/>
            <w:shd w:fill="FFFFFF" w:val="clear"/>
            <w:vAlign w:val="center"/>
          </w:tcPr>
          <w:p>
            <w:pPr>
              <w:pStyle w:val="TableContents"/>
              <w:bidi w:val="0"/>
              <w:spacing w:before="0" w:after="283"/>
              <w:jc w:val="left"/>
              <w:rPr/>
            </w:pPr>
            <w:hyperlink w:anchor="toc1">
              <w:r>
                <w:rPr>
                  <w:rStyle w:val="InternetLink"/>
                  <w:rFonts w:ascii="Times New Roman;Times;Serif" w:hAnsi="Times New Roman;Times;Serif"/>
                  <w:sz w:val="20"/>
                </w:rPr>
                <w:t>MATERIAL U.S. FEDERAL INCOME TAX CONSIDERATIONS</w:t>
              </w:r>
            </w:hyperlink>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5810" w:type="dxa"/>
            <w:tcBorders/>
            <w:shd w:fill="CCEEFF" w:val="clear"/>
            <w:vAlign w:val="center"/>
          </w:tcPr>
          <w:p>
            <w:pPr>
              <w:pStyle w:val="TableContents"/>
              <w:bidi w:val="0"/>
              <w:spacing w:before="0" w:after="283"/>
              <w:jc w:val="left"/>
              <w:rPr/>
            </w:pPr>
            <w:hyperlink w:anchor="b_010">
              <w:r>
                <w:rPr>
                  <w:rStyle w:val="InternetLink"/>
                  <w:rFonts w:ascii="Times New Roman;Times;Serif" w:hAnsi="Times New Roman;Times;Serif"/>
                  <w:sz w:val="20"/>
                </w:rPr>
                <w:t>PLAN OF DISTRIBUTION</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S-26</w:t>
            </w:r>
          </w:p>
        </w:tc>
      </w:tr>
      <w:tr>
        <w:trPr/>
        <w:tc>
          <w:tcPr>
            <w:tcW w:w="5810" w:type="dxa"/>
            <w:tcBorders/>
            <w:shd w:fill="FFFFFF" w:val="clear"/>
            <w:vAlign w:val="center"/>
          </w:tcPr>
          <w:p>
            <w:pPr>
              <w:pStyle w:val="TableContents"/>
              <w:bidi w:val="0"/>
              <w:spacing w:before="0" w:after="283"/>
              <w:jc w:val="left"/>
              <w:rPr/>
            </w:pPr>
            <w:hyperlink w:anchor="b_011">
              <w:r>
                <w:rPr>
                  <w:rStyle w:val="InternetLink"/>
                  <w:rFonts w:ascii="Times New Roman;Times;Serif" w:hAnsi="Times New Roman;Times;Serif"/>
                  <w:sz w:val="20"/>
                </w:rPr>
                <w:t>MATERIAL CHANGES</w:t>
              </w:r>
            </w:hyperlink>
            <w:r>
              <w:rPr>
                <w:rFonts w:ascii="Times New Roman;Times;Serif" w:hAnsi="Times New Roman;Times;Serif"/>
                <w:sz w:val="20"/>
              </w:rPr>
              <w:t xml:space="preserve"> </w:t>
            </w:r>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S-28</w:t>
            </w:r>
          </w:p>
        </w:tc>
      </w:tr>
      <w:tr>
        <w:trPr/>
        <w:tc>
          <w:tcPr>
            <w:tcW w:w="5810" w:type="dxa"/>
            <w:tcBorders/>
            <w:shd w:fill="CCEEFF" w:val="clear"/>
            <w:vAlign w:val="center"/>
          </w:tcPr>
          <w:p>
            <w:pPr>
              <w:pStyle w:val="TableContents"/>
              <w:bidi w:val="0"/>
              <w:spacing w:before="0" w:after="283"/>
              <w:jc w:val="left"/>
              <w:rPr/>
            </w:pPr>
            <w:hyperlink w:anchor="b_012">
              <w:r>
                <w:rPr>
                  <w:rStyle w:val="InternetLink"/>
                  <w:rFonts w:ascii="Times New Roman;Times;Serif" w:hAnsi="Times New Roman;Times;Serif"/>
                  <w:sz w:val="20"/>
                </w:rPr>
                <w:t>LEGAL MATTERS</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S-28</w:t>
            </w:r>
          </w:p>
        </w:tc>
      </w:tr>
      <w:tr>
        <w:trPr/>
        <w:tc>
          <w:tcPr>
            <w:tcW w:w="5810" w:type="dxa"/>
            <w:tcBorders/>
            <w:shd w:fill="FFFFFF" w:val="clear"/>
            <w:vAlign w:val="center"/>
          </w:tcPr>
          <w:p>
            <w:pPr>
              <w:pStyle w:val="TableContents"/>
              <w:bidi w:val="0"/>
              <w:spacing w:before="0" w:after="283"/>
              <w:jc w:val="left"/>
              <w:rPr/>
            </w:pPr>
            <w:hyperlink w:anchor="b_013">
              <w:r>
                <w:rPr>
                  <w:rStyle w:val="InternetLink"/>
                  <w:rFonts w:ascii="Times New Roman;Times;Serif" w:hAnsi="Times New Roman;Times;Serif"/>
                  <w:sz w:val="20"/>
                </w:rPr>
                <w:t>EXPERTS</w:t>
              </w:r>
            </w:hyperlink>
            <w:r>
              <w:rPr>
                <w:rFonts w:ascii="Times New Roman;Times;Serif" w:hAnsi="Times New Roman;Times;Serif"/>
                <w:sz w:val="20"/>
              </w:rPr>
              <w:t xml:space="preserve"> </w:t>
            </w:r>
          </w:p>
        </w:tc>
        <w:tc>
          <w:tcPr>
            <w:tcW w:w="192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S-28</w:t>
            </w:r>
          </w:p>
        </w:tc>
      </w:tr>
      <w:tr>
        <w:trPr/>
        <w:tc>
          <w:tcPr>
            <w:tcW w:w="5810" w:type="dxa"/>
            <w:tcBorders/>
            <w:shd w:fill="CCEEFF" w:val="clear"/>
            <w:vAlign w:val="center"/>
          </w:tcPr>
          <w:p>
            <w:pPr>
              <w:pStyle w:val="TableContents"/>
              <w:bidi w:val="0"/>
              <w:spacing w:before="0" w:after="283"/>
              <w:jc w:val="left"/>
              <w:rPr/>
            </w:pPr>
            <w:hyperlink w:anchor="b_014">
              <w:r>
                <w:rPr>
                  <w:rStyle w:val="InternetLink"/>
                  <w:rFonts w:ascii="Times New Roman;Times;Serif" w:hAnsi="Times New Roman;Times;Serif"/>
                  <w:sz w:val="20"/>
                </w:rPr>
                <w:t>ENFORCEMENT OF CIVIL LIABILITIES</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&amp;NegativeThickSpace;</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S-29</w:t>
            </w:r>
          </w:p>
        </w:tc>
      </w:tr>
      <w:tr>
        <w:trPr/>
        <w:tc>
          <w:tcPr>
            <w:tcW w:w="5810" w:type="dxa"/>
            <w:tcBorders/>
            <w:shd w:fill="FFFFFF" w:val="clear"/>
            <w:vAlign w:val="center"/>
          </w:tcPr>
          <w:p>
            <w:pPr>
              <w:pStyle w:val="TableContents"/>
              <w:bidi w:val="0"/>
              <w:spacing w:before="0" w:after="283"/>
              <w:jc w:val="left"/>
              <w:rPr/>
            </w:pPr>
            <w:hyperlink w:anchor="b_015">
              <w:r>
                <w:rPr>
                  <w:rStyle w:val="InternetLink"/>
                  <w:rFonts w:ascii="Times New Roman;Times;Serif" w:hAnsi="Times New Roman;Times;Serif"/>
                  <w:sz w:val="20"/>
                </w:rPr>
                <w:t>WHERE YOU CAN FIND MORE INFORMATION</w:t>
              </w:r>
            </w:hyperlink>
            <w:r>
              <w:rPr>
                <w:rFonts w:ascii="Times New Roman;Times;Serif" w:hAnsi="Times New Roman;Times;Serif"/>
                <w:sz w:val="20"/>
              </w:rPr>
              <w:t xml:space="preserve"> </w:t>
            </w:r>
          </w:p>
        </w:tc>
        <w:tc>
          <w:tcPr>
            <w:tcW w:w="1925" w:type="dxa"/>
            <w:tcBorders/>
            <w:shd w:fill="FFFFFF" w:val="clear"/>
            <w:vAlign w:val="center"/>
          </w:tcPr>
          <w:p>
            <w:pPr>
              <w:pStyle w:val="TableContents"/>
              <w:bidi w:val="0"/>
              <w:spacing w:before="0" w:after="283"/>
              <w:jc w:val="center"/>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S-31</w:t>
            </w:r>
          </w:p>
        </w:tc>
      </w:tr>
      <w:tr>
        <w:trPr/>
        <w:tc>
          <w:tcPr>
            <w:tcW w:w="5810" w:type="dxa"/>
            <w:tcBorders/>
            <w:shd w:fill="CCEEFF" w:val="clear"/>
            <w:vAlign w:val="center"/>
          </w:tcPr>
          <w:p>
            <w:pPr>
              <w:pStyle w:val="TableContents"/>
              <w:bidi w:val="0"/>
              <w:spacing w:before="0" w:after="283"/>
              <w:jc w:val="left"/>
              <w:rPr/>
            </w:pPr>
            <w:hyperlink w:anchor="b_016">
              <w:r>
                <w:rPr>
                  <w:rStyle w:val="InternetLink"/>
                  <w:rFonts w:ascii="Times New Roman;Times;Serif" w:hAnsi="Times New Roman;Times;Serif"/>
                  <w:sz w:val="20"/>
                </w:rPr>
                <w:t>INCORPORATION OF CERTAIN INFORMATION BY REFERENCE</w:t>
              </w:r>
            </w:hyperlink>
            <w:r>
              <w:rPr>
                <w:rFonts w:ascii="Times New Roman;Times;Serif" w:hAnsi="Times New Roman;Times;Serif"/>
                <w:sz w:val="20"/>
              </w:rPr>
              <w:t xml:space="preserve"> </w:t>
            </w:r>
          </w:p>
        </w:tc>
        <w:tc>
          <w:tcPr>
            <w:tcW w:w="1925" w:type="dxa"/>
            <w:tcBorders/>
            <w:shd w:fill="CCEEFF" w:val="clear"/>
            <w:vAlign w:val="center"/>
          </w:tcPr>
          <w:p>
            <w:pPr>
              <w:pStyle w:val="TableContents"/>
              <w:bidi w:val="0"/>
              <w:spacing w:before="0" w:after="283"/>
              <w:jc w:val="center"/>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8" w:name="b_001"/>
      <w:bookmarkEnd w:id="18"/>
      <w:r>
        <w:rPr>
          <w:rFonts w:ascii="Times New Roman;Times;Serif" w:hAnsi="Times New Roman;Times;Serif"/>
          <w:b/>
          <w:i w:val="false"/>
          <w:caps w:val="false"/>
          <w:smallCaps w:val="false"/>
          <w:sz w:val="20"/>
        </w:rPr>
        <w:t>ABOUT THIS PROSPECTUS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an “automatic shelf” registration statement on Form F-3 that we filed with the SEC, as a “well-known seasoned issuer” as defined in Rule 405 under the Securities Act of 1933, as amended (the “Securities Act”) utilizing a “shelf” registration process. Under this shelf registration process, we may from time to time sell ADSs representing our ordinary shares having an aggregate offering price of up to $200.0 million under this prospectus at prices and on terms to be determined by market conditions at the time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into this prospectus by reference include important information about us, the securities being offered and other information you should know before investing in our securities.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 this prospectus), the statement in the document having the later date modifies or supersedes the earlier statement. Any statement so modified or superseded will not be deemed, except as so modified or superseded, to constitute a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Sales Agents, have authorized any person to give any information or to make any representation other than those contained or incorporated by reference in this prospectus or any related free writing prospectus prepared by or on behalf of us or to which we have referred you. Neither we, nor the Sales Agents, take any responsibility for, or provide any assurance as to the reliability of, any other information others may give you. We are not, and the Sales Agents are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references in this prospectus to “Ascentage Pharma,” “the Company,” “our Company,” “we,” “us” and “our” refer to Ascentage Pharma Group International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9" w:name="b_002"/>
      <w:bookmarkEnd w:id="19"/>
      <w:r>
        <w:rPr>
          <w:rFonts w:ascii="Times New Roman;Times;Serif" w:hAnsi="Times New Roman;Times;Serif"/>
          <w:b/>
          <w:i w:val="false"/>
          <w:caps w:val="false"/>
          <w:smallCaps w:val="false"/>
          <w:sz w:val="20"/>
        </w:rPr>
        <w:t>PRESENTATION OF FINANCIAL AND OTHER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our consolidated financial statements in Renminbi and in accordance with IFRS Accounting Standards as issued by the International Accounting Standards Board (IASB). None of the financial statements incorporated by reference into this prospectus were prepared in accordance with generally accepted accounting principles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references to “RMB” or “Renminbi” are to the legal currency of China; references to “HK$” or “Hong Kong dollars” are to the legal currency of Hong Kong; and references to “dollars,” “U.S. dollars,” “US$” or “$” are to the legal currency of the United States of America. Throughout this prospectus, references to ADSs mean ADSs or ordinary shares represented by such ADSs, as the case may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rounding adjustments to some of the figures included in this prospectus. Accordingly, numerical figures shown as totals in some tables may not be an arithmetic aggregation of the figures that preceded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bookmarkStart w:id="20" w:name="b_003"/>
      <w:bookmarkEnd w:id="20"/>
      <w:r>
        <w:rPr>
          <w:rFonts w:ascii="Times New Roman;Times;Serif" w:hAnsi="Times New Roman;Times;Serif"/>
          <w:b/>
          <w:i w:val="false"/>
          <w:caps w:val="false"/>
          <w:smallCaps w:val="false"/>
          <w:sz w:val="20"/>
          <w:bdr w:val="single" w:sz="12" w:space="1" w:color="000000"/>
        </w:rPr>
        <w:t>PROSPECTUS SUMMARY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The following summary highlights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Investing in our securities involves risks. Therefore, carefully consider the risk factors set forth in this prospectus and in our most recent filings with the SEC including our Annual Reports on Form 20-F and reports on Form 6-K, as well as other information in this prospectus and the documents incorporated by reference herein or therein, before purchasing our securities. Each of the risk factors could adversely affect our business, operating results and financial condition, as well as adversely affect the value of an investment in our securities.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global, commercial stage, integrated biopharmaceutical company engaged in the discovery, development and commercialization of novel, differentiated therapies to address unmet medical needs in cancer. For more than two decades, our founders and team have leveraged their deep expertise to develop our proprietary drug discovery platform to pursue particularly challenging targets and significant unmet global medical needs. Our lead assets, Olverembatinib and Lisaftoclax, have global potential to address the major hematological malignancies, including chronic myeloid leukemia, or CML, acute myeloid leukemia, or AML, chronic lymphocytic leukemia, or CLL, acute lymphocytic leukemia, or ALL, myelodysplastic syndrome, or MDS, which is expected to exceed US$166 billion in aggregate market size by 2035, according to the Frost &amp; Sullivan’s Global Innovative Small Molecule Drug Market Study, dated December 2024 (the “F&amp;S Report”).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first lead asset, Olverembatinib, is a novel, third-generation tyrosine kinase inhibitor, or TKI. Olverembatinib was the first BCR-ABL1 inhibitor approved in China for the treatment of patients with CML in chronic phase, or CML-CP, with T315I mutations, CML in accelerated phase, or CML-AP, with T315I mutations, and CML-CP that is resistant and/or intolerant to first and second-generation TKIs. We are currently commercializing Olverembatinib in China. All commercialized indications of Olverembatinib have been included in the National Drug Reimbursement List, or NRDL, in China beginning January 2025.</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that Olverembatinib, with its real-world patients’ data in China, where it is approved, has the potential to be a global therapy for CML. The global CML market was around US$12.3 billion in 2023 and is expected to grow to US$14.6 billion by 2035, according to the F&amp;S Report. We are currently conducting a registrational Phase 3 trial, or POLARIS-2, of Olverembatinib as a monotherapy for CML that is cleared by the U.S. Food and Drug Administration, or FDA, and European Medicines Agency or EMA. The clinical data obtained in China may not be accepted by the FDA or other foreign regulators to support ongoing or future clinical trials, and Olverembatinib is approved only in China, such that the outcome of our ongoing clinical trials is uncertain. We are also pursuing label expansion of Olverembatinib in combination with chemotherapy for the treatment of first-line Philadelphia chromosome-positive ALL, or frontline Ph+ ALL, in an FDA and EMA cleared registrational Phase 3 trial, or POLARIS-1, and conducting another registrational Phase 3 trial, or POLARIS-3 evaluating Olverembatinib as a monotherapy for succinate dehydrogenase (SDH)-deficient gastrointestinal stromal tumor, or GIST.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second lead asset, Lisaftoclax, is a novel Bcl-2 inhibitor that we are developing for the treatment of various hematological malignancies. In November 2024, we announced that our new drug application (“NDA”) for the treatment of relapsed and/or refractory, or R/R, CLL and small lymphocytic lymphoma, or SLL, was accepted with Priority Review designation by the Center of Drug Evaluation, or CDE, of China’s National Medical Products Administration, or NMPA. We believe this NDA is the second NDA filed in the world for a Bcl-2 inhibitor and the first in China for a Bcl-2 inhibitor for the treatment of patients with CLL/SLL that are resistant or intolerant to Bruton’s tyrosine kinase, or BTK, inhibitors. Lisaftoclax was approved in China by the NMPA for the treatment of adult patients with CLL/SLL who have previously received at least one systemic therapy including BTK inhibitors in July 2025. We started commercializing in China in July 2025 shortly after receiving approval. We intend to seek approval in multiple countries outside of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global CLL/SLL market was around US$9.4 billion in 2023 and is expected to grow to US$38.2 billion by 2035, according to the F&amp;S Report. We are also conducting an FDA-regulated registrational Phase 3 trial, or GLORA, of Lisaftoclax in combination with BTK inhibitors for patients with CLL/SLL previously treated with BTK inhibitors for more than 12 months with sub-optimal response and pursuing approval of Lisaftoclax for frontline CLL/SLL in a registrational Phase 3 trial, or GLORA-2, of Lisaftoclax in combination with acalabrutinib.</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that Lisaftoclax, with its short half-life and potential for patient-friendly ramp-up schedule, can serve as a backbone molecule for combination therapies for many hematological malignancies, including and beyond CLL/ SLL. Therefore, we are also evaluating Lisaftoclax in combination with azacitidine, or AZA, in two registrational Phase 3 trials, GLORA-3 (EMA and CDE cleared) and GLORA-4 (FDA, EMA and CDE cleared), for the frontline treatments of elderly, or unfit patients with AML or patients with higher risk, or HR, myelodysplastic syndrome, or MDS, respectively.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Backed by our strong scientific foundation, knowledge of small molecule discovery and capabilities to conduct clinical trials worldwide, we use state-of-the-art technologies to develop innovative therapeutic agents to treat cancers and address unmet medical needs within this patient population. Our initial focus has been to leverage our expertise in chemistry to synthesize inhibitors targeting proteins and pathways that drive the key hallmarks of cancer. Earlier in our pipeline, we are harnessing our understanding of protein degraders to develop therapies, such as proteolysis targeting chimera molecules, or PROTACs, that target traditionally undruggable proteins that are implicated in oncogenesis.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empowered by our technical expertise in structure-based drug design and our innovative drug discovery engine, which allows us to address unmet medical need by targeting key apoptotic pathways and validated tyrosine kinases. These core competencies have allowed us to develop small molecule and degrader therapies targeted at Bcl-2, Bcl-2/Bcl-xL, IAP and MDM2, in addition to building next-generation cell signaling inhibitors (i.e., BCR- ABL1, ALK, FAK inhibitors) and epigenome-modifying agents (i.e., PRC2 inhibitor). We are the only company in the world with active clinical programs targeting all three known classes of key apoptosis regulators, according to the F&amp;S Report. We have nine ongoing U.S. and/or international registrational trials, including two that are FDA-regulated, for our six key clinical-stage assets. Beyond our two lead assets, we have several other clinical-stage assets in U.S. or international clinical trials.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Leveraging our robust internal research and development capabilities, we have built a portfolio of global intellectual property rights. We have also established collaborations and other relationships with leading biotechnology and pharmaceutical companies around the world, including a collaboration and license agreement with Innovent and clinical collaboration agreements with AstraZeneca, Merck, and Pfizer, and research and development relationships with leading research institutions, including but not limited to Dana-Farber Cancer Institute, Mayo Clinic, MD Anderson Cancer Center, National Cancer Institute and the University of Michigan. As of December 31, 2025, we had 512 issued patents globally, 374 of which were issued outside of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assembled a talented, global team with experience in the research and development of innovative drugs, as well as commercial manufacturing, sales and marketing. Our success is shaped by this global team of approximately 767 employees across the United States, Europe, Australia, and China, as of December 31, 2025. Together, we are dedicated to continuously strengthening our research and development capabilities and accelerating the clinical development progress of our product pipeline with the goal of addressing the unmet medical needs of patients globally.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firstLine="36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Ascentage Pharma Group Corp Limited, a company incorporated in Hong Kong with limited liability (“Ascentage Pharma (HK)”), was established in May 2009. Dr. Yang, Dr. Zhai, Dr. Wang and Dr. Guo, our co-founders, were the initial majority shareholders of Ascentage Pharma (HK).</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June 2010, Jiangsu Ascentage Pharma Co., Ltd, a limited liability company incorporated under the laws of the PRC (“Ascentage Jiangsu”), was established as a wholly-owned subsidiary of Ascentage Pharma (HK).</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Ascentage Pharma (HK) went through a series of internal restructurings and equity financings in 2015 and 2016, pursuant to which Ascentage International Limited, a limited liability company incorporated in Hong Kong (“Ascentage International”), Hongkong Sansheng Medical Limited, a company incorporated in Hong Kong with limited liability, and Shengda Taizhou Investment Centre LLP (“Shengda Taizhou)” acquired equity interests in Ascentage Jiangsu from Ascentage Pharma (HK). Shengda Taizhou held the equity interest in Ascentage Jiangsu for the benefit of Dr. Yang, Dr. Guo, Dr. Wang and Dr. Zhai.</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December 2016, Ascentage Jiangsu entered into a share transfer agreement for the acquisition of the entire equity interest of Healthquest Pharma from Dr. Zhai and Ren Jing.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November 2017, we commenced a reorganization (the “Reorganization”), consisting of the following principal steps: (i) Ascentage Pharma was incorporated as an exempted company under the laws of the Cayman Islands; (ii) Ascentage Pharma acquired all equity interests in Ascentage Pharma (HK) from Dr. Yang, Dr. Wang, Dr. Guo and Collected Mind (a BVI subsidiary of 3SBio Inc. (HKEX: 1530)), after which Ascentage Pharma (HK) became a wholly-owned subsidiary of Ascentage Pharma; and (iii) in July 2018, Ascentage Pharma acquired all equity interests in Ascentage International from each of Dr. Yang, Dr. Wang and Dr. Guo, in exchange for ordinary shares issued to Ascentage Limited (a BVI company owned by Dr. Yang (45.53%), Dr. Guo (27.69%) and Dr. Wang (26.78%), each for themselves and as settlors of their respective family trusts), based on Ascentage International’s registered capital in Ascentage Jiangsu immediately preceding the acquisition. Ascentage Limited was dissolved in December 2023.</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the completion of the Reorganization, Ascentage Pharma became the top holding company of our company and its subsidiaries. Our daily operations are conducted primarily through our operating subsidiaries in mainland China, Hong Kong, the United States and Australia. Ascentage Pharma Group Corp Limited, Ascentage International Limited, Ascentage Investment International and Ascentage Investment Limited are investment holding intermediaries.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March 2026, the Board approved the transfer of ownership of Ascentage Pharma Group Inc., Ascentage Pharma Pty Ltd., and Ascentage Pharma Europe Limited from Ascentage Pharma Group Corp Ltd. to Ascentage Pharma to streamline the organizational structure, which transfer closed in July 2026.</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corporate headquarters are located at 68 Xinqing Road, Suzhou Industrial Park, Suzhou, Jiangsu, China, and our telephone number is +1 (301) 291-5658. Our agent for service of process in the United States is Ascentage Pharma Group Inc., located at 700 King Farm Boulevard, Suite 510, Rockville, MD 20850, and its telephone number is +1 (301) 291-5658. Our registered office is located at the office of Walkers Corporate Limited, with the registered address of 190 Elgin Avenue, George Town, Grand Cayman KY1-9008, Cayman Islands. Our corporate website is www.ascentage.com. The information contained on or that can be accessed through our website is not incorporated by reference into this prospectus, and you should not consider information on our website to be part of this prospectus. The SEC maintains an internet site that contains reports, proxy and information statements, and other information regarding issuers that file electronically with the SEC, such as the Company, at http://www.sec.gov.</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Cash Flows through Our Organization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is transferred among the Company and our subsidiaries in the following manner: (1) funds are transferred to the Company’s subsidiaries from the Company as needed as capital contributions or shareholder loans, as the case may be; and (2) dividends or other distributions may be paid by our subsidiaries to the Company. Our subsidiaries generate and retain cash from operating activities and re-invest in their respective business. None of our subsidiaries have made distributions to shareholders. In the future, the Company’s ability to pay dividends, if any, to its shareholders and to service any debt it may incur partially depends upon dividends paid by our subsidiaries. Apart from cash transferred in connection with paid-in capital and shareholder loans, no cash or other assets have been transferred between the Company and a subsidiary, no subsidiaries (including PRC subsidiaries) paid dividends or made other distributions to the Company, and no dividends or distributions were paid or made to U.S. investors. In the future, cash proceeds raised from financing activities may be transferred by the Company through our subsidiaries via capital contributions and shareholder loans, as the case may be, and our subsidiaries may pay dividends to their respective shareholders. Payment of dividends is subject to restrictions under the PRC law. Any limitation on the ability of our PRC subsidiaries to make payments to us could have a material and adverse effect on our ability to conduct our business. For a detailed discussion of applicable PRC regulations governing distribution of dividends, see “Item 4. Information on the Company—B. Business Overview—Government regulation—PRC regulation—PRC regulations relating to dividend distribution” in our most recent Annual Report on Form 20-F, which is incorporated by reference in this prospectus. In addition, the PRC government imposes regulations on the convertibility of Renminbi into foreign currencies and the remittance of funds out of China. Governmental regulations of currency conversion may limit our ability to pay dividends and other obligations and affect the value of your investment. We currently intend to retain most, if not all, of our available funds and any future earnings to operate and expand our business. See “Dividends and Dividend Policy”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Regulatory Permissions and Licenses for Our Operations in the PRC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conduct our business in mainland China primarily through our PRC subsidiaries. Our operations in mainland China are governed by laws and regulations of mainland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CSRC promulgated the Trial Measures and relevant notes and supporting guidelines, which became effective on March 31, 2023. Pursuant to the Trial Measures, PRC domestic companies that seek to offer and list securities in overseas markets, either in direct or indirect means, are required to fulfill the filing procedure with the CSRC and report relevant information.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The Trial Measures provide that if the issuer meets both of the following criteria, the overseas securities offering and listing conducted by such issuer will be deemed an indirect overseas offering by a PRC domestic company: (1) 50% or more of any of the issuer’s operating revenue, total profit, total assets or net assets as documented in its audited consolidated financial statements for the most recent fiscal year is accounted for by PRC domestic companies; and (2) the main parts of the issuer’s business activities are conducted in mainland China, its main place(s) of business are located in mainland China or the majority of senior management staff in charge of its business operations and management are PRC citizens or have their usual place(s) of residence located in mainland China. As advised by our PRC legal advisor, any offering under this prospectus will be identified as an indirect overseas issuance and listing under the Trial Measures. We are therefore subject to the approval, filing or other requirements of the CSRC in connection with any such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Trial Measures also state that any post-listing follow-on offering by an issuer in the same overseas market, including issuance of shares, convertible notes and other similar securities, shall be subject to the filing requirements within three business days after the completion of an offering. Therefore, any future offerings and listings of our securities in an overseas market shall be subject to the filing requirements under the CSRC Filing Rules. As such, we will be required to submit a filing to CSRC within three business days after the completion of any offering of securities under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been closely monitoring regulatory developments in China regarding any necessary approvals from the CSRC, the Cyberspace Administration of China (the “CAC”), or other PRC regulatory authorities required for overseas listings and securities offerings. However, we cannot predict the impact of these regulations on the listing status of the ADSs and/or other securities, or on any of our future security offerings in foreign countries. For more detailed information, see “Risk factors–Risks related to doing business in the PRC–We are subject to continued approval, filing and other requirements of applicable U.S. securities laws and Nasdaq listing rules as a U.S. public company, and may be subject to further approval, filing or other requirements with PRC governmental authorities in connection with future capital-raising activities.”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(1) we do not receive or maintain any required permissions or approvals, (2) we inadvertently concluded that certain permissions or approvals have been acquired or are not required, or (3) applicable laws, regulations or interpretations thereof change and we become subject to the requirement of additional permissions or approvals in the future, we may not be able to obtain such permissions or approvals in a timely manner, or at all, and such approvals may be rescinded even if obtained. Any such circumstance could subject us to sanctions imposed by the PRC regulatory authorities, which could include fines and penalties, proceedings against us, and other forms of sanctions, and our business, financial condition and results of operations may be materially and adversely affected. For more information, see “Risk factors–Risks related to doing business in the PRC.”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Regulatory Development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6, 2021, the relevant PRC government authorities issued the Opinions on Strictly Scrutinizing on Illegal Securities Activities in Accordance with the Law. These opinions call for strengthened regulation over illegal securities activities, supervision of overseas securities offerings and listings by China-based companies, and propose to take effective measures, such as promoting the development of relevant regulatory systems, to deal with perceived risks or incidents faced by China-based overseas-listed companies.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revised Measures of Cybersecurity Review as promulgated by a total of thirteen governmental departments of the PRC, including the CAC, came into effect on February 15, 2022. The revised Measures of Cybersecurity Review stipulated that, in addition to network products and services acquired by critical information infrastructure operators, online platform operators are also subject to cybersecurity review if they carry out data processing activities that affect or may affect national security. Moreover, online platform operators listing in a foreign country with more than one million users’ personal information data must apply for a cybersecurity review with the Cybersecurity Review Office. The revised Measures of Cybersecurity Review further elaborated the factors to be considered when assessing the national security risks of the relevant activities. Since our business operation is not an operator of a network platform with personal information of over one million users, we should not be required to undergo the cybersecurity review for an offering under this prospectus and the listing of the ADSs under the revised Measures of Cybersecurity Review.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24, 2023, the CSRC, jointly with other relevant governmental authorities, promulgated the Provisions on Strengthening Confidentiality and Archives Management of Overseas Securities Issuance and Listing by Domestic Enterprises (the “Confidentiality and Archives Management Provisions”) which took effect on March 31, 2023. The Confidentiality and Archives Management Provisions outline obligations of issuers listed in overseas markets with operations in mainland China when they provide information involving state secrets or sensitive information to their securities service providers (such as auditors) and overseas regulators. In addition, under the Confidentiality and Archives Management Provisions, such issuers will also be required to obtain approval from the CSRC and other authorities in mainland China before accepting any investigation or inspection by overseas regulators. There are uncertainties with respect to the interpretation and implementation of Confidentiality and Archives Management Provisions.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the Holding Foreign Companies Accountable Act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HFCAA, if the SEC determines that we have filed audit reports issued by a registered public accounting firm that has not been subject to inspection by the PCAOB for two consecutive years, the SEC will prohibit our ordinary shares or ADSs from being traded on a national securities exchange or in the over the counter trading market in the United States. On December 16, 2021, the PCAOB issued its report notifying the SEC of its determination that it was unable to inspect or investigate completely registered public accounting firms headquartered in mainland China or Hong Kong, including our auditor who is headquartered in mainland China.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were to determine in the future that it no longer has full access to inspect and investigate completely accounting firms in mainland China and Hong Kong, and if we were to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“Risk factors–Risks related to doing business in the PRC–The PCAOB has historically been unable to inspect our auditor in relation to their audit work and the inability of the PCAOB to conduct inspections over our auditor deprives our investors of the benefits of such inspections” and “Risk factors–Risks related to doing business in the PRC–If the PCAOB is unable to inspect or investigate completely our auditors located in China because of a position taken by a foreign authority and the SEC identifies the Company as a Commission-Identified Issuer under the Holding Foreign Companies Accountable Act for two consecutive years, the ADSs will be delisted and our ordinary shares and ADSs will be prohibited from trading on a national securities exchange or in the over-the-counter market under the Holding Foreign Companies Accountable Act. The delisting of the ADSs, or the threat of their being delisted, and a prohibition from trading, may materially and adversely affect the value of our ordinary shares”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Certain Risks Associated with Our Corporate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exempted company incorporated under the laws of the Cayman Islands that conducts most of our operations in China through our PRC subsidiaries. In addition, some our executive officers reside within China for a significant portion of the time. As a result, it may be difficult for our shareholders to effect service of process upon us or those persons inside China.</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recognition and enforcement of foreign judgments are provided for under the PRC Civil Procedures Law. PRC courts may recognize and enforce foreign judgments in accordance with the requirements of the PRC Civil Procedures Law based either on treaties or similar arrangements between China and the jurisdiction where the judgment is made or on principles of reciprocity between jurisdictions. China does not have treaties or similar arrangements and only has limited reciprocity arrangements with the United States, the Cayman Islands or many other countries and regions that provide for the reciprocal recognition and enforcement of foreign judgments as of the date of this prospectus. Therefore, recognition and enforcement in China of judgments of a court in any of these non-PRC jurisdictions in relation to any matter not subject to a binding arbitration provision may be difficult or impossible. In addition, according to the PRC Civil Procedures Law,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See also “Risk factors–Risks related to doing business in the PRC–You may experience difficulties in effecting service of legal process, enforcing foreign judgments or bringing actions in the regions where we operate against us or our management named in this Annual Report on Form 20-F based on foreign laws” in our most recent Annual Report on Form 20-F, which is incorporated by reference in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Holding Company Structure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Ascentage Pharma has not previously declared or paid any cash dividend or dividend in kind, and has no plan to declare or pay any dividends in the near future on its ordinary shares or the ADSs. Ascentage Pharma is a holding company with no operations of its own. Ascentage Pharma conducts its business operations through its subsidiaries, including its subsidiaries in China. If the PRC government deems that any of our business operations carried out by our Hong Kong or PRC subsidiaries were to be restricted or prohibited from foreign investment in the future, we may be required to stop our business operations in China, and we could be subject to material penalties or be forced to relinquish our interests in the affected operations. Such events could result in a material change in our operations and a material change in the value of our securities, including causing the value of such securities to significantly decline or become worthless. If we become profitable, Ascentage Pharma’s ability to pay dividends, if any, to the shareholders and ADS investors and to service any debt it may incur will come from dividends paid by its operating subsidiaries.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PRC laws and regulations, our PRC subsidiaries are subject to certain restrictions with respect to paying dividends or otherwise transferring any of their net assets offshore to Ascentage Pharma. In particular, under the current effective PRC laws and regulations, dividends may be paid only out of distributable profits upon satisfaction of relevant statutory conditions and procedures. Distributable profits are the net profit after tax as determined under PRC GAAP, less any recovery of accumulated losses and appropriations to statutory and other reserves required to be made. Each of our PRC subsidiaries is required to set aside 10% of its accumulated after-tax profits each year, if any, to fund a certain statutory reserve fund, until the aggregate amount of such fund reaches 50% of its registered capital. In addition, the PRC Enterprise Income Tax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Furthermore, the payment of current account items, including profit distributions, trade and service related foreign exchange transactions, can be made in foreign currencies without prior approval from State Administration of Foreign Exchange, or SAFE, or its local branches, provided that (i) the declaration and payment of such current account items comply with applicable PRC laws and regulations and the constitutional documents of the related company, and (ii) the remittance of dividends and other distributions out of the PRC complies with the procedures required by the relevant PRC laws and regulations relating to foreign exchange administration and withholding tax provisions, such as the overseas investment registrations by our shareholders or the ultimate shareholders of our corporate shareholders who are PRC residents. However, where RMB is to be converted into foreign currency and remitted out of the PRC to pay capital expenses, such as the repayment of loans denominated in foreign currencies, approval from or registration with competent government authorities or its authorized banks is required. The PRC government may take measures from time to time to restrict access to foreign currencies for current account or capital account transactions in accordance with the procedural requirements of PRC laws.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 from the auditor attestation requirements of Section 404 of the Sarbanes-Oxley Act of 2002;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tc>
      </w:tr>
    </w:tbl>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choose to take advantage of some but not all of these reduced burdens. We will remain an emerging growth company until the earliest of (1) the last day of the fiscal year during which we have total annual gross revenues of at least US$1.235 billion; (2) the last day of our fiscal year following the fifth anniversary of the completion of our U.S. initial public offering; (3) the date on which we have, during the preceding three-year period, issued more than US$1.0 billion in non- convertible debt; or (4) the date on which we are deemed to be a “large accelerated filer” under the Exchange Act, which would occur if we have been a public company for at least 12 months and the market value of the ADSs and ordinary shares that are held by non-affiliates exceeds US$700 million as of the last business day of our most recently completed second fiscal quarter.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1" w:name="b_004"/>
      <w:bookmarkEnd w:id="21"/>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39"/>
        <w:gridCol w:w="60"/>
        <w:gridCol w:w="8706"/>
      </w:tblGrid>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ADSs offered by us</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ADSs representing our ordinary shares, having an aggregate offering price of up to $200,000,000.  </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ADSs to be outstanding immediately after this offering</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383,126,113 shares (as more fully described in the notes following this table), assuming sales of 9,803,921 ADSs in this offering at an offering price of $20.40 per share, which was the last reported sale price of the ADSs on Nasdaq on July 16, 2026. The actual number of ADSs issued will vary depending on the sales price under this offering.</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of Distribution</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w:t>
            </w:r>
            <w:r>
              <w:rPr>
                <w:rFonts w:ascii="Times New Roman;Times;Serif" w:hAnsi="Times New Roman;Times;Serif"/>
                <w:sz w:val="20"/>
              </w:rPr>
              <w:t>At the market offering” that may be made from time to time through the Sales Agents. See “Plan of Distribution” on page S-26 of this prospectus.  </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ADSs</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ADS represents four ordinary shares. The offered ADSs may be evidenced by American Depositary Receipts, or ADRs. The Depositary will hold the ordinary shares underlying the ADS and you will have the rights of an ADS holder as provided in the deposit agreement among us, the Depositary and all owners and holders of ADSs issued thereunder.  </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JPMorgan Chase Bank, N.A.</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retain broad discretion over the use of the net proceeds from the sale of the securities offered hereby. We currently intend to use the net proceeds from the sale of the securities offered hereby to fund the commercialization of Olverembatinib and Lisaftoclax, the ongoing clinical trials for our drug candidates, for working capital and for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 See “Use of Proceeds” on page S-15 of this prospectus.  </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involves significant risks. See “Risk Factors” on page S-10 of this prospectus, and in documents incorporated by reference into this prospectus.  </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HKEx trading stock code for our ordinary shares</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both"/>
              <w:rPr/>
            </w:pPr>
            <w:r>
              <w:rPr/>
              <w:t>“</w:t>
            </w:r>
            <w:r>
              <w:rPr>
                <w:rFonts w:ascii="Times New Roman;Times;Serif" w:hAnsi="Times New Roman;Times;Serif"/>
                <w:sz w:val="20"/>
              </w:rPr>
              <w:t>6855”</w:t>
            </w:r>
          </w:p>
        </w:tc>
      </w:tr>
      <w:tr>
        <w:trPr/>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both"/>
              <w:rPr/>
            </w:pPr>
            <w:r>
              <w:rPr/>
              <w:t> </w:t>
            </w:r>
          </w:p>
        </w:tc>
      </w:tr>
      <w:tr>
        <w:trPr/>
        <w:tc>
          <w:tcPr>
            <w:tcW w:w="1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Global Market symbol for the ADSs</w:t>
            </w:r>
          </w:p>
        </w:tc>
        <w:tc>
          <w:tcPr>
            <w:tcW w:w="60" w:type="dxa"/>
            <w:tcBorders/>
            <w:vAlign w:val="center"/>
          </w:tcPr>
          <w:p>
            <w:pPr>
              <w:pStyle w:val="TableContents"/>
              <w:bidi w:val="0"/>
              <w:spacing w:before="0" w:after="283"/>
              <w:jc w:val="left"/>
              <w:rPr/>
            </w:pPr>
            <w:r>
              <w:rPr/>
              <w:t> </w:t>
            </w:r>
          </w:p>
        </w:tc>
        <w:tc>
          <w:tcPr>
            <w:tcW w:w="8706" w:type="dxa"/>
            <w:tcBorders/>
            <w:vAlign w:val="center"/>
          </w:tcPr>
          <w:p>
            <w:pPr>
              <w:pStyle w:val="TableContents"/>
              <w:bidi w:val="0"/>
              <w:spacing w:before="0" w:after="283"/>
              <w:jc w:val="both"/>
              <w:rPr/>
            </w:pPr>
            <w:r>
              <w:rPr/>
              <w:t>“</w:t>
            </w:r>
            <w:r>
              <w:rPr>
                <w:rFonts w:ascii="Times New Roman;Times;Serif" w:hAnsi="Times New Roman;Times;Serif"/>
                <w:sz w:val="20"/>
              </w:rPr>
              <w:t>AAPG”</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number of ordinary shares (including ordinary shares represented by ADSs and treasury shares) issued and outstanding as of April 1, 2026, was 373,322,192 which excludes: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2,785,470 ordinary shares issuable upon the exercise of stock options outstanding under the Post-IPO Share Option Scheme;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6,294 ordinary shares reserved for future issuance under the 2018 RSU Scheme;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443,127 ordinary shares reserved for future issuance under the 2021 RSU Scheme; and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5,582,518 ordinary shares reserved for future issuance under the 2022 RSU Scheme.</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b_005"/>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review the risks and uncertainties described below and under the heading “Risk Factors” in our most recent Annual Report on Form 20-F,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ADS of your investment.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ADS in this offering may exceed the net tangible book value per ADS outstanding prior to this offering. After giving effect to the sale of ADSs in the aggregate amount of $200.0 million at an assumed offering price of $26.24 per ADS, the last reported sale price of the ADSs on December 31, 2025, on the Nasdaq Global Market, and after deducting commissions and estimated offering expenses, our as adjusted net tangible book value as of December 31, 2025 would have been $3.72 per ADS. You will experience additional dilution at the end of the vesting period for our free shares that we have granted, and upon exercise of any outstanding warrants or options to purchase ordinary shares, or if we otherwise issue additional ordinary shares or ADSs below the offering price. See the section titled “Dilution” below for a more detailed illustration of the dilution you would incur if you participate in this offering. Because the sales of the securities offered hereby will be made directly into the market or in negotiated transactions, the prices at which we sell these securities will vary and these variations may be significant. Purchasers of the securities we sell, as well as our existing shareholders, will experience significant dilution if we sell the securities at prices significantly below the price at which they invested.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ADSs offered hereby will be sold at other than fixed prices, and investors who buy ADSs at different times will likely pay different prices.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sales of ADSs offered hereby will be made at other than fixed prices from time to time, the prices at which we sell these ADSs will vary and these variations may be significant. Investors who participate in this offering at different times will likely pay different prices depending on the price of the ADS on the Nasdaq Global Market at the time of the investment. We will have discretion, subject to investor demand, to vary the timing, prices, and the numbers of ADSs sold. Investors may experience a decline in the value of their investment as a result of sales they made at prices lower than the prices they paid.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Raising additional capital, including as a result of this offering, may cause dilution to our shareholders, restrict our operations or require us to relinquish rights to our product candidates or technologies.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including from this offering, or convertible debt securities, your ownership interest will be diluted, and the terms of these securities may include liquidation or other preferences that adversely affect your rights as a shareholder.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drug development or future commercialization efforts or grant rights to third parties to develop and market product candidates that we would otherwise prefer to develop and market ourselves.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use them in ways with which you do not agree and in ways that may not increase the value of your investment.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that we receive from this offering. We may spend or invest these proceeds in a way with which our shareholders and ADS holders disagree. The failure by our management to apply these funds effectively could harm our business and financial condition. Pending their use, we may invest the net proceeds from this offering in a manner that does not produce income or that loses value. These investments may not yield a favorable return to our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actual number of ADSs we will issue under the Sales Agreement at any one time or in total is uncertain.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committed to sell, and the Sales Agents have not committed to purchase or underwrite, any specific number of ADSs under the Sales Agreement. The number of ADSs that are sold in this offering will be determined by us throughout the duration of the Sales Agreement based on, among other things, market conditions and the market price of the ADSs and ordinary shares. Accordingly, it is not possible to predict the number of ADSs that will ultimately be issued under the Sales Agreement, if any ADSs are issued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Purchasers of ADSs in the offering may be subject to limitations on the transfer of their ADSs and the withdrawal of the underlying 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 holder of ADSs’ right to cancel his or her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the section of this prospectus titled “Description of American Depositary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authorities may disagree with our positions and conclusions regarding certain tax positions, resulting in unanticipated costs, taxes or non-realization of expected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Future sales of ordinary shares or ADSs by existing shareholders could depress the market price of the ordinary shares or ADSs.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a substantial number of the ADSs or ordinary shares, including as part of this offering, or the perception that such sales will occur, could cause a decline in the market price of the ADSs and/or ordinary shares. Sales in the United States of the ADSs and ordinary shares held by our directors, officers and affiliated shareholders or ADS holders are subject to restrictions. If these shareholders or ADS holders sell substantial amounts of ordinary shares or ADSs in the public market, or the market perceives that such sales may occur, the market price of the ADSs or ordinary shares and our ability to raise capital through an issue of equity securities in the future could be adversely affected.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b_006"/>
      <w:bookmarkEnd w:id="2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contain forward-looking statements within the meaning of Section 27A of the Securities Act and Section 21E of the Securities Exchange Act of 1934, as amended,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as well as any amendments thereto, filed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present and historical facts and conditions contained in this prospectus, including statements regarding our future results of operations and financial positions,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Forward-looking statements include, but are not limited to, statements about:</w:t>
      </w:r>
    </w:p>
    <w:p>
      <w:pPr>
        <w:pStyle w:val="TextBody"/>
        <w:bidi w:val="0"/>
        <w:spacing w:before="0" w:after="0"/>
        <w:ind w:left="720" w:right="0" w:hanging="36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sales, manufacturing and commercialization of Olverembatinib and Lisaftoclax in China;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clinical development, regulatory approval and commercialization of Olverembatinib and Lisaftoclax outside of China and of our other proprietary product candidates, including trial initiation, patient enrollment, trial completion, data announcements, regulatory filings, and timing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potential advantages of our products and product candidates over existing therapies or therapies currently in development and expectations regarding the status of current therapies being used or being developed that are or may be competitive to our product candidates and potential changes to standard of care, and their comparative efficacy, safety, pharmacokinetics, or PK, pharmacodynamics, or PD, bioavailability and other characteristics;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regard to our ability to create, identify, nominate, select, research and develop additional product candidates and to submit investigational new drug application, or INDs, and/or Clinical Trial Applications, or CTAs, for our pre-clinical product candidates and timing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potential advantages of our proprietary technologies over existing technology platforms, including drugs and therapies currently in development, and the prospects for our ongoing and future technology collaborations;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our industry, including competing therapies and technologies;</w:t>
            </w:r>
          </w:p>
        </w:tc>
      </w:tr>
    </w:tbl>
    <w:p>
      <w:pPr>
        <w:pStyle w:val="TextBody"/>
        <w:bidi w:val="0"/>
        <w:spacing w:before="0" w:after="283"/>
        <w:jc w:val="left"/>
        <w:rPr/>
      </w:pPr>
      <w:r>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expand our technology platform and the potential benefits of such platform;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regard to the willingness and ability of our current and future partners and collaborators to pursue the development, approval and commercialization of our products and product candidates;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product discovery, development and commercialization plans with respect to our products and product candidates and proprietary technologies;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to enter into new collaborations, including research and similar collaborations with research institutions and hospitals;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and collaborators’ ability to develop, acquire and advance product candidates into, and successfully complete, clinical trials and commercialize products that are approved;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around the potential initiation, timing and success of clinical trials initiated by third parties, including IIT, of therapies including our products and product candidates;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timing, progress and results of our pre-clinical studies and clinical trials, and our research and development programs;</w:t>
            </w:r>
          </w:p>
        </w:tc>
      </w:tr>
    </w:tbl>
    <w:p>
      <w:pPr>
        <w:pStyle w:val="TextBody"/>
        <w:bidi w:val="0"/>
        <w:spacing w:before="0" w:after="283"/>
        <w:jc w:val="left"/>
        <w:rPr/>
      </w:pPr>
      <w:r>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 for our products and product candidates;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identify, and to negotiate contracts with, suitable contract manufacturing organizations, or CMOs, contract research organizations, or CROs, and the ability of such CMOs and CROs to manufacture sufficient quantities of our products and product candidates for clinical trials or commercialization in compliance with current good manufacturing practices, or cGMPs;</w:t>
            </w:r>
          </w:p>
        </w:tc>
      </w:tr>
    </w:tbl>
    <w:p>
      <w:pPr>
        <w:pStyle w:val="TextBody"/>
        <w:bidi w:val="0"/>
        <w:spacing w:before="0" w:after="283"/>
        <w:jc w:val="left"/>
        <w:rPr/>
      </w:pPr>
      <w:r>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commercialization and market acceptance of our products and product candidates;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continue to build our commercialization capabilities and to commercialize and market Olverembatinib, Lisaftoclax or other proprietary product candidates that may be approved;</w:t>
            </w:r>
          </w:p>
        </w:tc>
      </w:tr>
    </w:tbl>
    <w:p>
      <w:pPr>
        <w:pStyle w:val="TextBody"/>
        <w:bidi w:val="0"/>
        <w:spacing w:before="0" w:after="283"/>
        <w:jc w:val="left"/>
        <w:rPr/>
      </w:pPr>
      <w:r>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pricing of and reimbursement for our approved products in different markets;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implementation of our business model and strategic plans for our business, products, product candidates and technologies;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and our partners’ ability to operate our businesses without infringing the intellectual property rights and proprietary technology of third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protection we and our partners are able to establish and maintain for intellectual property rights covering our products, product candidates and technologies;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analysis of potential patent infringement claims and our rights with respect to such claims, and expectations around patent coverage and effectiveness of such coverage for competitive products and product candidates;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receipt of future milestone payments, royalties and other payments from our partners, licensors and other collaborators and the expected timing of such payments;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regulatory developments, legislative actions and political conditions in the United States, China, Hong Kong and other jurisdictions, including trade policies and tariffs that may apply to products that we purchase or sell, or judicial decisions overturning or establishing new legal precedents;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operate in compliance with applicable laws which are complex and have different jurisdictional requirements;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effectively manage our anticipated growth;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suitably qualified employees and key personnel, particularly for our commercialization efforts;</w:t>
            </w:r>
          </w:p>
        </w:tc>
      </w:tr>
    </w:tbl>
    <w:p>
      <w:pPr>
        <w:pStyle w:val="TextBody"/>
        <w:bidi w:val="0"/>
        <w:spacing w:before="0" w:after="283"/>
        <w:jc w:val="left"/>
        <w:rPr/>
      </w:pPr>
      <w:r>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around increase of headcounts and operations in key geographic areas;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receipt of and terms and conditions of any required approvals, licenses or permits and the failure to renew, or the revocation of, any such approvals, licenses or permits;</w:t>
            </w:r>
          </w:p>
        </w:tc>
      </w:tr>
    </w:tbl>
    <w:p>
      <w:pPr>
        <w:pStyle w:val="TextBody"/>
        <w:bidi w:val="0"/>
        <w:spacing w:before="0" w:after="283"/>
        <w:jc w:val="left"/>
        <w:rPr/>
      </w:pPr>
      <w:r>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estimates regarding future expenses, capital requirements and needs for additional financing;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 that the use of proceeds from our public and private financings and the period over which such proceeds, together with our available cash, will be sufficient to meet our operating needs;</w:t>
            </w:r>
          </w:p>
        </w:tc>
      </w:tr>
    </w:tbl>
    <w:p>
      <w:pPr>
        <w:pStyle w:val="TextBody"/>
        <w:bidi w:val="0"/>
        <w:spacing w:before="0" w:after="283"/>
        <w:jc w:val="left"/>
        <w:rPr/>
      </w:pPr>
      <w:r>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financial performance;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including those listed in this prospectus under the caption “Risk Factors.” and those listed in our Annual Report on Form 20-F for the year ended December 31, 2025, filed with the Securities and Exchange Commission.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refer to the “Risk Factors” section contained in this prospectus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undertake no obligation to publicly update any forward-looking statements, whether as a result of new information, future events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as exhibits to this prospectus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is generally reliable, such information is inherently imprecise.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and do not, undertake any obligation to update or revise any forward-looking statements, whether as a result of new information, future events or otherwise, except as may be required under applicable securities laws. You should therefore not rely on these forward-looking statements as representing our current expectations and beliefs as of any date subsequent to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b_007"/>
      <w:bookmarkEnd w:id="24"/>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We currently intend to use the net proceeds from the sale of the securities offered hereby to fund the commercialization of Olverembatinib and Lisaftoclax, the ongoing clinical trials for our drug candidates, for working capital and for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intend to invest the net proceeds in investment-grade, interest-bearing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b_008"/>
      <w:bookmarkEnd w:id="25"/>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our total capitalization and cash and cash equivalents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actual basis; and</w:t>
            </w:r>
          </w:p>
        </w:tc>
      </w:tr>
    </w:tbl>
    <w:p>
      <w:pPr>
        <w:pStyle w:val="TextBody"/>
        <w:bidi w:val="0"/>
        <w:spacing w:before="0" w:after="0"/>
        <w:ind w:left="11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as adjusted basis assuming that an aggregate of 7,393,293 ADSs are sold at a price of US$26.24 per ADS, which was the last reported sale price of our ADSs on the Nasdaq on December 31, 2025, converted into U.S. dollars using the exchange rate of RMB6.9931 to US$1.00, which is the exchange rate set forth for cable transfers in the City of New York, as certified by the Federal Reserve Bank of New York, on December 31, 2025, and after deducting the commissions and estimated offering expenses payable by us.</w:t>
            </w:r>
          </w:p>
        </w:tc>
      </w:tr>
    </w:tbl>
    <w:p>
      <w:pPr>
        <w:pStyle w:val="TextBody"/>
        <w:bidi w:val="0"/>
        <w:spacing w:before="0" w:after="0"/>
        <w:ind w:left="114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financial data in the following table in conjunction with our financial statements and related notes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2"/>
        <w:gridCol w:w="60"/>
        <w:gridCol w:w="60"/>
        <w:gridCol w:w="2194"/>
        <w:gridCol w:w="80"/>
        <w:gridCol w:w="60"/>
        <w:gridCol w:w="60"/>
        <w:gridCol w:w="905"/>
        <w:gridCol w:w="80"/>
        <w:gridCol w:w="60"/>
        <w:gridCol w:w="60"/>
        <w:gridCol w:w="2057"/>
        <w:gridCol w:w="80"/>
        <w:gridCol w:w="60"/>
        <w:gridCol w:w="60"/>
        <w:gridCol w:w="905"/>
        <w:gridCol w:w="82"/>
      </w:tblGrid>
      <w:tr>
        <w:trPr/>
        <w:tc>
          <w:tcPr>
            <w:tcW w:w="334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721"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w:t>
            </w:r>
          </w:p>
        </w:tc>
        <w:tc>
          <w:tcPr>
            <w:tcW w:w="82" w:type="dxa"/>
            <w:tcBorders/>
            <w:vAlign w:val="center"/>
          </w:tcPr>
          <w:p>
            <w:pPr>
              <w:pStyle w:val="TableContents"/>
              <w:bidi w:val="0"/>
              <w:spacing w:before="0" w:after="283"/>
              <w:ind w:left="0" w:right="0" w:hanging="180"/>
              <w:jc w:val="left"/>
              <w:rPr/>
            </w:pPr>
            <w:r>
              <w:rPr/>
              <w:t> </w:t>
            </w:r>
          </w:p>
        </w:tc>
      </w:tr>
      <w:tr>
        <w:trPr/>
        <w:tc>
          <w:tcPr>
            <w:tcW w:w="334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 except share and per share data)</w:t>
            </w:r>
          </w:p>
        </w:tc>
        <w:tc>
          <w:tcPr>
            <w:tcW w:w="60" w:type="dxa"/>
            <w:tcBorders/>
            <w:vAlign w:val="center"/>
          </w:tcPr>
          <w:p>
            <w:pPr>
              <w:pStyle w:val="TableContents"/>
              <w:bidi w:val="0"/>
              <w:spacing w:before="0" w:after="283"/>
              <w:jc w:val="left"/>
              <w:rPr/>
            </w:pPr>
            <w:r>
              <w:rPr/>
              <w:t> </w:t>
            </w:r>
          </w:p>
        </w:tc>
        <w:tc>
          <w:tcPr>
            <w:tcW w:w="33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As-Adjusted</w:t>
            </w:r>
          </w:p>
        </w:tc>
        <w:tc>
          <w:tcPr>
            <w:tcW w:w="82" w:type="dxa"/>
            <w:tcBorders/>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4"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US$&amp;NegativeThickSpace;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US$&amp;NegativeThickSpace;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2"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borrowing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&amp;NegativeThickSpace;148,718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1,040,000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long term bank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&amp;NegativeThickSpace;25,053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175,198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&amp;NegativeThickSpace;106,151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742,325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(deficit)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par value US$0.0001 per share, 373,321,692 shares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(2,961</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premium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&amp;NegativeThickSpace;1,275,093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8,916,852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1,302,832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9,110,831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and 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&amp;NegativeThickSpace;(56,802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(397,225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(397,225</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fluctuation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&amp;NegativeThickSpace;(25,684)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(179,602</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&amp;NegativeThickSpace;(997,667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(6,976,784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(997,667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(6,976,784</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&amp;NegativeThickSpace;1,394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0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&amp;NegativeThickSpace;195,948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05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1,564,286</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&amp;NegativeThickSpace;475,870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3,327,809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3,521,809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(including ordinary shares represented by ADSs and treasury shares) issued and outstanding as of December 31, 2025, was 373,321,692 which excludes: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2,152,227 ordinary shares issuable upon the exercise of stock options outstanding under the Post-IPO Share Option Scheme;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6,294 ordinary shares reserved for future issuance under the 2018 RSU Scheme;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443,127 ordinary shares reserved for future issuance under the 2021 RSU Scheme;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82,500 ordinary shares reserved for future issuance under the 2022 RSU Scheme.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b_009"/>
      <w:bookmarkEnd w:id="26"/>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December 31, 2025 was $181.4 million, or $1.94 per ADS with this and all other convenience translations presented in this section, “Dilution,” based on a rate of RMB6.9931 to US$1.00, the exchange rate set forth for cable transfers in the City of New York, as certified by the Federal Reserve Bank of New York, on December 31, 2025. Net tangible book value per ordinary share is determined by dividing (1) our total assets less our intangible assets and our total liabilities by (2) 373,321,692 ordinary shares outstanding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the ADSs in the aggregate amount of $200.0 million at an assumed offering price of $26.24 per ADS, the last reported sale price of the ADSs on the Nasdaq Global Market on December 31, 2025, and after deducting estimated commissions and offering expenses payable by us, our as adjusted net tangible book value as of December 31, 2025 would have been $3.72 per ADS. This represents an immediate increase in net tangible book value of $1.78 per ADS to existing shareholders and an immediate dilution in net tangible book value of $22.52 per ADS to investors purchasing our ADSs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calculation on a per ADS basis. The information is illustrative only and will adjust based on the actual prices at which ADSs are sold, the actual number of ADSs sold and other terms of the offering determined at the time the ADSs are sold pursuant to this prospectus.</w:t>
      </w:r>
    </w:p>
    <w:p>
      <w:pPr>
        <w:pStyle w:val="TextBody"/>
        <w:bidi w:val="0"/>
        <w:spacing w:before="0" w:after="0"/>
        <w:ind w:left="0" w:right="0" w:firstLine="36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8495"/>
        <w:gridCol w:w="60"/>
        <w:gridCol w:w="125"/>
        <w:gridCol w:w="380"/>
        <w:gridCol w:w="60"/>
        <w:gridCol w:w="125"/>
        <w:gridCol w:w="485"/>
        <w:gridCol w:w="75"/>
      </w:tblGrid>
      <w:tr>
        <w:trPr/>
        <w:tc>
          <w:tcPr>
            <w:tcW w:w="84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Assumed public offering price per ADS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tangible book value per ADS as of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net tangible book value per ADS attributable to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adjusted net tangible book value per ADS as of December 31, 2025,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495" w:type="dxa"/>
            <w:tcBorders/>
            <w:shd w:fill="CCEEFF" w:val="clear"/>
            <w:vAlign w:val="center"/>
          </w:tcPr>
          <w:p>
            <w:pPr>
              <w:pStyle w:val="TableContents"/>
              <w:bidi w:val="0"/>
              <w:spacing w:before="0" w:after="283"/>
              <w:jc w:val="left"/>
              <w:rPr/>
            </w:pPr>
            <w:r>
              <w:rPr/>
              <w:t>Dilution per ADSs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8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issued and outstanding as of December 31, 2025, was 373,321,692, which excludes: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2,152,227 ordinary shares issuable upon the exercise of stock options outstanding under the Post-IPO Share Option Scheme;</w:t>
            </w:r>
          </w:p>
        </w:tc>
      </w:tr>
    </w:tbl>
    <w:p>
      <w:pPr>
        <w:pStyle w:val="TextBody"/>
        <w:bidi w:val="0"/>
        <w:spacing w:before="0" w:after="0"/>
        <w:ind w:left="720" w:right="0" w:hanging="36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6,294 ordinary shares reserved for future issuance under the 2018 RSU Scheme;</w:t>
            </w:r>
          </w:p>
        </w:tc>
      </w:tr>
    </w:tbl>
    <w:p>
      <w:pPr>
        <w:pStyle w:val="TextBody"/>
        <w:bidi w:val="0"/>
        <w:spacing w:before="0" w:after="0"/>
        <w:ind w:left="720" w:right="0" w:hanging="360"/>
        <w:jc w:val="both"/>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443,127 ordinary shares reserved for future issuance under the 2021 RSU Scheme; and</w:t>
            </w:r>
          </w:p>
        </w:tc>
      </w:tr>
    </w:tbl>
    <w:p>
      <w:pPr>
        <w:pStyle w:val="TextBody"/>
        <w:bidi w:val="0"/>
        <w:spacing w:before="0" w:after="0"/>
        <w:ind w:left="720" w:right="0" w:hanging="36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82,500 ordinary shares reserved for future issuance under the 2022 RSU Scheme.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subject to the Sales Agreement will be sold from time to time at various prices. An increase of $1.00 per ADS in the price at which the ADSs are sold from the assumed offering price of $26.24 per ADS shown in the table above, assuming all of our securities in the aggregate amount of $200.0 million during the term of the Sales Agreement are sold at that price, would increase our as adjusted net tangible book value per ADS after the offering to $0.28 per ADS, which would represent a decrease in net tangible book value per ADS to new investors in this offering of $3.45 per ADS, after deducting commissions and estimated offering expenses payable by us. A decrease of $1.00 per ADS in the price at which the ADSs are sold from the assumed offering price of $26.24 per ADS shown in the table above, assuming all of our securities in the aggregate amount of $200.0 million during the term of the Sales Agreement are sold at that price, would increase our as adjusted net tangible book value per ADS after the offering to $0.28 per ADS, which would represent a decrease in net tangible book value per ADS to new investors in this offering of $26.24 per ADS, after deducting commissions and estimated offering expenses payable by us. This information is supplied for illustrative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Cayman Islands, PRC and U.S. federal income tax considerations related to the ownership and disposition of the ADSs or ordinary shares is based upon laws and relevant interpretations thereof in effect as of the date of this prospectus and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Walkers (Hong Kong), our Cayman Islands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JunHe LLP, our PRC counsel, 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Ascentage Pharma is not a PRC resident enterprise for PRC tax purposes. Ascentage Pharma is not controlled by a PRC enterprise or PRC enterprise group, and we do not believe that Ascentage Pharma meets all of the conditions above. Ascentage Pharma is a company incorporated outside of the PRC.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Ascentage Pharma is a PRC resident enterprise for enterprise income tax purposes or if dividends we pay to our shareholders are otherwise treated as sourced from within the PRC, we may be required to withhold a 10% withholding tax from such dividends we pay to our shareholders that are non- 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 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unless a reduced rate is available under an applicable tax treaty (and in the case of dividends will be withheld at source). It is also unclear whether non-PRC shareholders of Ascentage Pharma would be able to obtain the benefits of any tax treaties between their country of tax residence and the PRC if Ascentage Pharma is treated as a PRC resident enterprise.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toc1"/>
      <w:bookmarkEnd w:id="27"/>
      <w:r>
        <w:rPr>
          <w:rFonts w:ascii="Times New Roman;Times;Serif" w:hAnsi="Times New Roman;Times;Serif"/>
          <w:b/>
          <w:i w:val="false"/>
          <w:caps w:val="false"/>
          <w:smallCaps w:val="false"/>
          <w:sz w:val="20"/>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the ADSs or ordinary shares by a U.S. Holder (as defined below) and holds the ADSs or ordinary shares as “capital assets” (generally, property held for investment) under the U.S. Internal Revenue Code of 1986, as amended, or the Code. This discussion is based upon existing U.S. federal tax law (including proposed Treasury regulations and the income tax treaty between PRC and the United States, or the Treaty),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7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17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0"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17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cooperatives;</w:t>
            </w:r>
          </w:p>
        </w:tc>
      </w:tr>
    </w:tbl>
    <w:p>
      <w:pPr>
        <w:pStyle w:val="TextBody"/>
        <w:bidi w:val="0"/>
        <w:spacing w:before="0" w:after="0"/>
        <w:ind w:left="0" w:right="0" w:hanging="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1458" w:type="dxa"/>
        <w:jc w:val="left"/>
        <w:tblInd w:w="0" w:type="dxa"/>
        <w:tblLayout w:type="fixed"/>
        <w:tblCellMar>
          <w:top w:w="0" w:type="dxa"/>
          <w:left w:w="0" w:type="dxa"/>
          <w:bottom w:w="0" w:type="dxa"/>
          <w:right w:w="0" w:type="dxa"/>
        </w:tblCellMar>
      </w:tblPr>
      <w:tblGrid>
        <w:gridCol w:w="38"/>
        <w:gridCol w:w="170"/>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17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in securities that elect to use a mark-to-market method of accounting;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7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former U.S. citizens or long-term residents;</w:t>
            </w:r>
          </w:p>
        </w:tc>
      </w:tr>
    </w:tbl>
    <w:p>
      <w:pPr>
        <w:pStyle w:val="TextBody"/>
        <w:bidi w:val="0"/>
        <w:spacing w:before="0" w:after="0"/>
        <w:ind w:left="0" w:right="0" w:hanging="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 (including private foundations);</w:t>
            </w:r>
          </w:p>
        </w:tc>
      </w:tr>
    </w:tbl>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bl>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who acquire their ADSs or ordinary shares pursuant to any employee share option or otherwise as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will hold their ADSs or ordinary shares as part of a straddle, hedge, conversion, constructive sale or other integrated transaction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that have a functional currency other than the U.S. dollar;</w:t>
            </w:r>
          </w:p>
        </w:tc>
      </w:tr>
    </w:tbl>
    <w:p>
      <w:pPr>
        <w:pStyle w:val="TextBody"/>
        <w:bidi w:val="0"/>
        <w:spacing w:before="0" w:after="0"/>
        <w:ind w:left="0" w:right="0" w:hanging="0"/>
        <w:jc w:val="both"/>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7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our stock (by vote or value);</w:t>
            </w:r>
          </w:p>
        </w:tc>
      </w:tr>
    </w:tbl>
    <w:p>
      <w:pPr>
        <w:pStyle w:val="TextBody"/>
        <w:bidi w:val="0"/>
        <w:spacing w:before="0" w:after="0"/>
        <w:ind w:left="0" w:right="0" w:hanging="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their ADSs or ordinary shares in connection with a trade or business outside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required to accelerate the recognition of any item of gross income with respect to their ADSs or ordinary shares as a result of such income being recognized on an applicable financial statement;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partnerships or other entities taxable as partnerships for U.S. federal income tax purposes, or persons holding ADSs or ordinary shares through such entities;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ADSs or ordinary shares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for U.S. federal income tax purposes) created in, or organized under the law of, the United States or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partnerships holding the ADSs or ordinary shares are urged to consult their tax advisors regarding an investment in the ADSs or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expect to make distributions on the ADSs or ordinary shares. In the event we do make distributions of cash or other property subject to the discussion under “—Passive foreign investment company rules” below, 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and other non-corporate U.S. Holders may be subject to tax at the lower capital gain tax rate applicable to “qualified dividend income,” provided that certain conditions are satisfied, including that (1) in the case of U.S. Holders of ADSs, the ADSs shares with respect to which the dividends are paid are readily tradable on an established securities market in the United States, or, in the case of U.S. Holders of either ADSs or ordinary shares, if we are deemed to be a PRC resident enterprise under the PRC tax law, we are eligible for the benefit the Treaty, (2) we are neither a PFIC (as defined below) nor treated as such with respect to a U.S. Holder (as discussed below) for the fiscal year in which the dividend is paid or the preceding fiscal year and (3) certain holding period and other requirements are met. We expect that the ADSs will be readily tradable on an established securities market in the United States and that we will be a qualified foreign corporation with respect to dividends (if any) paid on the ADSs. There can be no assurance that the ADSs will continue to be considered readily tradable on an established securities market in later years. Because the ordinary shares will not be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deemed to be a PRC resident enterprise under the PRC Enterprise Income Tax Law (see the section of this prospectus titled “</w:t>
      </w:r>
      <w:r>
        <w:rPr>
          <w:rFonts w:ascii="Times New Roman;Times;Serif" w:hAnsi="Times New Roman;Times;Serif"/>
          <w:b w:val="false"/>
          <w:i/>
          <w:caps w:val="false"/>
          <w:smallCaps w:val="false"/>
          <w:sz w:val="20"/>
        </w:rPr>
        <w:t>Taxation–People’s Republic of China Taxation</w:t>
      </w:r>
      <w:r>
        <w:rPr>
          <w:rFonts w:ascii="Times New Roman;Times;Serif" w:hAnsi="Times New Roman;Times;Serif"/>
          <w:b w:val="false"/>
          <w:i w:val="false"/>
          <w:caps w:val="false"/>
          <w:smallCaps w:val="false"/>
          <w:sz w:val="20"/>
        </w:rPr>
        <w:t>”)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the ADSs or ordinary shares generally will be treated as income from foreign sources and generally will constitute passive category income. If PRC withholding taxes apply to dividends paid to a U.S. Holder with respect to the ADSs or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For example, subject to temporary interim relief provided by the IRS,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these requirements. U.S. Holders are urged to consult their tax advisors regarding the availability of the foreign tax credit under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under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below, 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if we are deemed to be a PRC resident enterprise under the PRC Enterprise Income Tax Law and PRC tax were to be imposed on any gain from the disposition of the ADSs or ordinary shares, a U.S. Holder that is eligible for the benefits of the Treaty may elect to treat such gain as foreign source income and claim a foreign tax credit in respect of any PRC taxes on disposition gains. Under Treasury regulations, subject to temporary interim relief provided by the IRS, if a U.S. Holder is not eligible for the benefits of the Treaty or fails to make the election to treat any gain as foreign source, then such U.S. holder may not be able to use the foreign tax credit arising from any PRC tax imposed on the disposition of the ADSs or ordinary shares. Additionally, other limitations under the foreign tax credit rules may preclude the U.S. Holder from claiming a foreign tax credit with respect to such PRC taxes. If a U.S. Holder is precluded from claiming a foreign tax credit, it is possible that any PRC taxes on disposition gains may either be deductible or reduce the amount realized on the disposition. U.S. Holders are urged to consult their tax advisors regarding the creditability of any PRC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“passive foreign investment company”, or PFIC, for U.S. federal income tax purposes for any taxable year, if either (1) 75% or more of its gross income for such year consists of certain types of “passive” income, or the income test, or (2) 50% or more of the amount of its assets (generally determined on the basis of a quarterly average) during such year is attributable to assets that produce or are held for the production of passive income, or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(other than certain royalties treated as derived in an active conduct of a trade or business), and gains from the disposition of passive assets. We will be treated as owning a proportionate share of the assets and earning a proportionate share of the income of any other corporation in which we own, directly or indirectly, at least 25% (by value) of the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PFIC asset test, the amount of our assets will generally be determined by reference to their value, which may be determined by reference to our market capitalization. However, if we are considered to be a controlled foreign corporation (a “CFC”) that is not “publicly traded” for purposes of the PFIC rules during the tested period, the amount of our assets will generally be determined by reference to our adjusted bases in our assets. Further, for purposes of applying the PFIC asset test to us, if any entity in which we own 25% or more of the total value of the outstanding shares of such entity is considered to be a CFC that is not publicly traded, the amount of such entity’s assets would generally be determined by reference to its adjusted bases in its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assurances can be provided that we or any of our subsidiaries are not a CFC or will not be a CFC, and consequently, no assurances can be given that the PFIC asset test will not be applied to us based on the adjusted bases of our non-U.S. subsidiaries in their assets. Provided that we and our subsidiaries were not, and do not become, CFCs, based on the composition of our income and assets and the estimated value of our assets, which is based on our current market capitalization, we do not presently expect to be a PFIC for our current fiscal year or future fiscal years. However, no assurance can be given that we will not be a PFIC for the current fiscal year or future fiscal years because the determination of whether we will be or become a PFIC for any taxable year is a fact intensive determination made annually after the close of each taxable year that depends, in part, upon the composition and classification of our income and assets. Fluctuations in the market price of the ADSs may cause us to be or become classified as a PFIC for the current or future fiscal years because the value of our assets for purposes of the asset test, including the value of our goodwill and unbooked intangibles, may be determined by reference to the market price of our ordinary shares or ADSs from time to time (which may be volatile). Among other matters, if our market capitalization is less than anticipated or subsequently declines, we may be or become classified as a PFIC for the current fiscal year or future fiscal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fiscal year during which a U.S. Holder holds the ADSs or ordinary shares, and unless the U.S. Holder makes a mark-to-market election (as described below), the U.S. Holder will generally be subject to special tax rules on (1) any excess distribution that we make to the U.S. Holder (which generally means any distribution paid during a fiscal year to a U.S. Holder that is greater than 125% of the average annual distributions paid in the three preceding fiscal years or, if shorter, the U.S. Holder’s holding period for the ADSs or ordinary shares) and (2) any gain realized on the sale or other disposition of ADSs or ordinary shares, or collectively, the Excess Distribution Rules. Under the Excess Distribution Rules: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the U.S. Holder’s holding period for the ADSs or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the current fiscal year and any fiscal years in the U.S. Holder’s holding period prior to the first fiscal year in which we are a PFIC, each a pre-PFIC year, will be taxable as ordinary income;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prior fiscal year, other than a pre-PFIC year, will be subject to tax at the highest tax rate in effect for individuals or corporations, as appropriate, for that year, increased by an additional tax equal to the interest on the resulting tax deemed deferred with respect to each such fiscal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the ADSs or ordinary shares and any of the entities in which we hold equity interests is also a PFIC, in each case, a lower-tier PFIC, such U.S. Holder would be treated as owning a proportionate amount (by value) of the shares of the lower-tier PFIC for purposes of the application of these rules. U.S. Holders are urged to consult their tax advisors regarding the application of the PFIC rules to any of the entities in which we hold equity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owns ADSs or ordinary shares, we will generally continue to be treated as a PFIC with respect to the U.S. Holder for all succeeding years during which the U.S. Holder owns the ADSs or ordinary shares, even if we cease to meet the threshold requirements for PFIC status, unless the U.S. Holder made a timely “deemed sale” election, in which case any gain on the deemed sale would be taxed under the PFIC rules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Excess Distribution Rules, a U.S. Holder of “marketable stock” (as defined below) in a PFIC may make a mark-to-market election with respect to such stock. If a U.S. Holder makes this election with respect to our ordinary shares or ADSs, the holder will generally (1) include as ordinary income for each fiscal year that we are a PFIC the excess, if any, of the fair market value of the ADSs and ordinary shares held at the end of the fiscal year over the adjusted tax basis of such ADSs and (2) deduct as an ordinary loss in each such fiscal year the excess, if any, of the adjusted tax basis of the ADSs over the fair market value of such ADSs and ordinary shares held at the end of the fiscal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 If we cease to be a PFIC when you have a mark-to-market election in effect, gain or loss realized by you on the sale of the ADSs will be a capital gain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For those purposes, we expect that the ADSs will be treated as marketable stock and our ordinary shares may be treated as marketable stock as well. We anticipate that the ADSs should qualify as being regularly traded, but no assurances may be given in this regard. Once made, the election cannot be revoked without the consent of the IRS unless the ADSs cease to be marketable stock. If we are a PFIC for any year in which a U.S. holder owns ordinary shares but before a mark-to- market election is made, the Excess Distribution Rules described above will apply to any mark-to-market gain recognized in the year the election is made.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be made for any lower-tier PFICs that we may own, a U.S. Holder may continue to be subject to the general PFIC rules with respect to such U.S. Holder’s indirect interest in any investments held by us that are treated as an equity interest in a PFIC for U.S. federal income tax purposes. Another alternative to the Excess Distribution Rules is if a U.S. Holder makes a valid “qualifying electing fund,” or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QEF election is available only if a U.S. Holder receives an annual information statement from the PFIC setting forth its net ordinary income and net capital gains, as determined under U.S. federal income tax principles. In the event that we are a PFIC, we cannot provide assurance that we will perform the necessary calculations or provide you with the information statement necessary to make a QEF election. Accordingly, you may not be able to make or maintain such an election with respect to your ordinary shares or ADSs.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the ADSs or ordinary shares during any fiscal year that we are a PFIC, the holder must generally file an annual IRS Form 8621. You should consult your tax advisor regarding the U.S. federal income tax considerations of owning and disposing of the ADSs or ordinary shares if we are or become a PFIC, including the availability and possibility of making a mark-to-market election or qualified electing fund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may be subject to information reporting to the IRS and U.S. backup withholding with respect to dividends on and proceeds from the sale or other disposition of the ADSs or ordinary shares that are made within the United States or through certain U.S.-related financial intermediaries. Backup withholding will not apply, however, to a U.S. Holder who furnishes a correct taxpayer identification number and makes any other required certification, or who is otherwise exempt from backup withholding and establishes this status if required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with respect to foreign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information relating to the ordinary shares or ADSs if the aggregate value of these assets and certain other foreign financial assets, including equity of foreign entities, exceeds certain threshold amounts,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ABOVE IS A SUMMARY OF THE MATERIAL U.S. FEDERAL INCOME TAX CONSEQUENCES OF AN INVESTMENT IN THE ADSs OR ORDINARY SHARES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ADSs OR ORDINARY SHARES IN LIGHT OF THE INVESTOR’S OWN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b_010"/>
      <w:bookmarkEnd w:id="2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Sales Agreement with Citigroup, Deutsche Bank, and BTIG, as our sales agents, on July 17, 2026, under which we may offer and sell up to $200.0 million of ADSs representing our ordinary shares from time to time through the Sales Agents. Sales of the ADSs, if any, under this prospectus supplement and the accompanying prospectus will be made by any method that is deemed to be an “at the market offering” as defined in Rule 415(a)(4) under the Securities Act. The Sales Agents may also sell the ADSs by any other method permitted by law. The Company will not make any sales of the ADSs under the Sales Agreement during any period in which the Company is, or could be deemed to be, in possession of material non-public information. The Company will not make any sales of the ADSs under the Sales Agreement (i) during any period in which the Company is, or could be deemed to be, in possession of material non-public information or (ii) at any time when the Company has imposed a trading blackout.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the ADSs under the Sales Agreement, we will notify one of the Sales Agents of the number of ADSs to be issued, the dates on which such sales are anticipated to be made, any limitation on the number of ADSs to be sold in any one day and any minimum price below which sales may not be made. Once we have so instructed the applicable Sales Agent, unless the Sales Agent declines to accept the terms of such notice, the Sales Agent has agreed to use its commercially reasonable efforts consistent with its normal trading and sales practices to sell such shares up to the amount specified on such terms. The obligations of the Sales Agent under the Sales Agreement to sell the ADSs are subject to a number of conditions that we must meet.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Ordinary Shares are listed on the Kong Stock Exchange and as a result the Company is subject to compliance with the rules of The Stock Exchange of Hong Kong Limited (the “HKEx”). The sale and issuance of any ADSs pursuant to this prospectus must satisfy the HKEX Listing Rules (the “Listing Rules”) either through strict compliance or through obtaining certain compliance waivers. The Company has sought granting of certain waivers from strict compliance with certain requirements of the Listing Rules (the “Listing Rules Waivers”) related to the following compliance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waiver from strict compliance with Note 1 to Rule 13.36(2)(b) and Chapter 14A of the Listing Rules in respect of dribble out trades. This waiver is sought because, dribbling out shares through open market sales under the ATM program (such sales being referred to as “dribble out trades”) is conducted through anonymous, electronically matched broker transactions on Nasdaq, and neither the Company nor the Sales Agents would have the ability to identify or exclude connected persons from purchasing ADSs in the open market. Requiring the Company to comply with Chapter 14A and Note 1 to Rule 13.36(2)(b) for such anonymous open market transactions would be unduly burdensome and impractical and would not achieve the regulatory purpose for which these rules were made;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waiver from strict compliance with Rules 13.28(2)-(5) of the Listing Rules at the time of filing this registration statement and in respect of dribble out trades. This waiver is sought to allow the Company to engage in dribble out trades without the regulatory burden of providing the precise terms (number of shares, price, and aggregate proceeds) of these trades, which are inherently not determinable until sales are actually effected.. The Company will publish a separate Rule 13.28 announcement for each agency block transaction and will disclose the information required under Rules 13.28(2)-(5) in next day disclosure returns for dribble out trades.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sales under the Sales Agreement will take place only after the Listing Rules Waivers have been granted by the HKEx.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may be sold at market prices prevailing at the time of sale, at prices related to such prevailing market prices or at negotiated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ADSs between us and the applicable Sales Agents is generally anticipated to occur on the first trading day following the date on which the sale was made, or on some other date that is agreed upon by us and the applicable Sales Agent or that is required by SEC rule or industry practice. Sales of the ADSs as contemplated in this prospectus supplement and the accompanying prospectus will be settled through the facilities of The Depository Trust Company or by such other means as we and the Sales Agent may agree upon. There is no arrangement for funds to be received in an escrow, trust or similar arrangement.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Sales Agent will provide to us written confirmation following the close of trading on the trading day immediately following the trading day on which it has made sales of ADSs under the Sales Agreement. Each confirmation will include the number of ADSs sold on such day and the gross sales proceeds thereof, the aggregate compensation payable to the Sales Agents and the net proceeds payable to the Company. We will report at least quarterly the number of ADSs sold through the Sales Agents under the Sales Agreement and the net proceeds to us (before expenses) and the aggregate compensation paid by us to the Sales Agents with respect to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Sales Agents a commission of up to 3.0% of the gross sales of ADSs sold through any of the Sales Agents under the Sales Agreement. We may also agree with the applicable agent to sell our ADSs using sales efforts and methods that may constitute “distributions” within the meaning of Rule 100 of Regulation M under the Exchange Act and for which we may agree to pay the applicable agent a commission that may exceed 3.0% of the gross sales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offering expenses payable by us, excluding any commission payable to the Sales Agents under the Sales Agreement, are approximately $500,000, which includes legal, accounting and printing costs and various other fees associated with registering the ADSs. We have also agreed to reimburse the Sales Agents for certain of their expenses in an amount up to $350,000. The remaining sales proceeds, after deducting any expenses payable by us and any transaction fees imposed by a governmental, regulatory or self-regulatory organization in connection with the sales, will equal our net proceeds from the sale of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ADSs on our behalf, the Sales Agents may be deemed to be “underwriters” within the meaning of the Securities Act, and the compensation paid to the Sales Agents may be deemed to be underwriting commissions or discounts.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Sales Agents have reason to believe that our ADSs are not an “actively-traded security” as defined under Rule 101(c)(l) of Regulation M under the Exchange Act. Accordingly, we have agreed with the Sales Agent that sales of our ADSs pursuant to the Sales Agreement or any terms agreement will be suspended during the applicable restricted period until Rule 101(c)(1) or another exemptive provision has been satisfied in the judgment of each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provide indemnification and contribution to the Sales Agents against certain liabilities, including civil liabilities under the Securities Act. We have also agreed to contribute to payments the Sales Agents may be required to make in respect of such liabilities. As sales agents, neither of the Sales Agents will engage in any transactions that stabilize ADSs.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ADSs pursuant to the Sales Agreement will terminate upon the earlier of (i) the sale of all ADSs subject to the Sales Agreement and (ii) the termination of the Sales Agreement as permitted therein. We and each Sales Agent, with respect to itself, may terminate the Sales Agreement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Agents and their affiliates have from time to time provided, and may in the future provide, various investment banking, commercial banking, fiduciary and advisory services for us for which they have received, and may in the future receive, customary fees and expenses. The Sales Agents and their affiliates may from time to time engage in other transactions with and perform services for us in the ordinary course of their businesses. In the course of their business, the Sales Agents may actively trade our securities for their own accounts or for the accounts of customers, and, accordingly, the Sales Agents may at any time hold long or short positions in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Sales Agents, and the Sales Agents may distribute the prospectus electronically.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9" w:name="b_011"/>
      <w:bookmarkEnd w:id="29"/>
      <w:r>
        <w:rPr>
          <w:rFonts w:ascii="Times New Roman;Times;Serif" w:hAnsi="Times New Roman;Times;Serif"/>
          <w:b/>
          <w:i w:val="false"/>
          <w:caps w:val="false"/>
          <w:smallCaps w:val="false"/>
          <w:sz w:val="20"/>
        </w:rPr>
        <w:t>MATERIAL CHANGES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or otherwise described in our Annual Report on Form 20-F for the fiscal year ended December 31, 2025, and in our Reports on Form 6-K incorporated by reference into this prospectus, no reportable material changes have occurred since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b_012"/>
      <w:bookmarkEnd w:id="3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as to U.S. federal securities and New York State law will be passed upon for us by DLA Piper LLP (US), Washington D.C. The Sales Agents are being represented in connection with this offering by Davis Polk &amp; Wardwell LLP. The validity of the ordinary shares represented by the ADSs offered in this offering and other certain legal matters as to Cayman Islands law will be passed upon for us by Walkers (Hong Kong). Certain legal matters as to PRC law will be passed upon for us by JunHe LLP and for the Sales Agents by Commerce &amp; Finance Law Offices. DLA Piper LLP (US), Washington D.C. may rely upon Walkers (Hong Kong) with respect to matters governed by Cayman Islands law and JunHe LLP with respect to matters governed by PRC law. Davis Polk &amp; Wardwell LLP may rely upon Commerce &amp; Finance Law Offices with respect to matters governed by PRC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b_013"/>
      <w:bookmarkEnd w:id="3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Ascentage Pharma Group International appearing in Ascentage Pharma Group International’s Annual Report (Form 20-F) for the year ended December 31, 2025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 of Ernst &amp; Young Hua Ming LLP is located at 50/F, Shanghai World Financial Center, 100 Century Avenue, Pudong New Area, Shanghai,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2" w:name="b_014"/>
      <w:bookmarkEnd w:id="32"/>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to take advantage of certain benefits associated with being a Cayman Islands exempted company, such as:</w:t>
      </w:r>
    </w:p>
    <w:p>
      <w:pPr>
        <w:pStyle w:val="TextBody"/>
        <w:bidi w:val="0"/>
        <w:spacing w:before="0" w:after="0"/>
        <w:ind w:left="0" w:right="0" w:firstLine="36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720" w:right="0" w:firstLine="36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17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720" w:right="0" w:firstLine="36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17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720" w:right="0" w:firstLine="36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720" w:right="0" w:firstLine="36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as compared to the United States; and</w:t>
            </w:r>
          </w:p>
        </w:tc>
      </w:tr>
    </w:tbl>
    <w:p>
      <w:pPr>
        <w:pStyle w:val="TextBody"/>
        <w:bidi w:val="0"/>
        <w:spacing w:before="0" w:after="0"/>
        <w:ind w:left="1440" w:right="0" w:hanging="36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7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operations are conducted in China, and substantially all of our assets are located in China. Most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persons, or to enforce against us or them judgments obtained in U.S.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Ascentage Pharma Group Inc., located at 700 King Farm Boulevard, Suite 510, Rockville, MD 20850 as our agent upon whom process may be served in any action brought against us under the securities laws of the United States. Walkers (Hong Kong), our legal counsel as to Cayman Islands law, and JunHe LLP, our legal counsel as to PRC law, have advised us, respectively, that there is uncertainty as to whether the courts of the Cayman Islands and the PRC, respectively,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the securities laws of the United States or any state in the United States; or</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the Cayman Islands or China against us or our directors or officers predicated upon the securities laws of the United States or any state in the United States.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with regard to Cayman Islands law relating to whether a judgment obtained from the United States courts under civil liability provisions of the securities laws will be determined by the courts of the Cayman Islands as penal or punitive in nature. The courts of the Cayman Islands may not recognize or enforce the judgment against a Cayman Islands company, and because the courts of the Cayman Islands have yet to rule on whether such judgments are penal or punitive in nature, it is uncertain whether such judgments from the U.S. courts would be enforceable in the Cayman Islands. Walkers (Hong Kong) has advised us that the courts of the Cayman Islands would recognize as a valid judgment, a final and conclusive judgment in personam obtained in the federal or state courts of the United States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JunHe LLP has further advised us that the recognition and enforcement of foreign judgments are provided for under the PRC Civil Procedures Law and other applicable laws and regulations.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suit. The PRC court will determine whether to accept the complaint in accordance with the PRC Civil Procedures Law and PRC Law on the Application of Laws to Foreign-related Civil Relations. Foreign citizens and companies will have the same rights as PRC citizens and companies in an action unless the home jurisdiction of such foreign citizens or companies restricts the rights of PRC citizens and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3" w:name="b_015"/>
      <w:bookmarkEnd w:id="33"/>
      <w:r>
        <w:rPr>
          <w:rFonts w:ascii="Times New Roman;Times;Serif" w:hAnsi="Times New Roman;Times;Serif"/>
          <w:b/>
          <w:i w:val="false"/>
          <w:caps w:val="false"/>
          <w:smallCaps w:val="false"/>
          <w:sz w:val="20"/>
        </w:rPr>
        <w:t>WHERE YOU CAN FIND MORE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that are applicable to a foreign private issuer. Under the Exchange Act, we file annual reports on Form 20-F and other information with the SEC. We also furnish to the SEC under cover of Form 6-K material information required to be made public in Hong Kong, filed with and made public by any stock exchange on which we are listed or distributed by us to our shareholders. As a foreign private issuer,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that contains reports and information statements and other information about issuers, such as us, who file electronically with the SEC. The address of that website is 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and does not contain all of the information in the registration statement. The full registration statement may be obtained from the SEC or us, as provided below. Statements in this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a website at www.ascentage.com through which you can access our SEC filings. The information set forth on our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4" w:name="b_016"/>
      <w:bookmarkEnd w:id="34"/>
      <w:r>
        <w:rPr>
          <w:rFonts w:ascii="Times New Roman;Times;Serif" w:hAnsi="Times New Roman;Times;Serif"/>
          <w:b/>
          <w:i w:val="false"/>
          <w:caps w:val="false"/>
          <w:smallCaps w:val="false"/>
          <w:sz w:val="20"/>
        </w:rPr>
        <w:t>INCORPORATION OF CERTAIN INFORMATION BY REFERENCE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document:</w:t>
      </w:r>
    </w:p>
    <w:p>
      <w:pPr>
        <w:pStyle w:val="TextBody"/>
        <w:bidi w:val="0"/>
        <w:spacing w:before="0" w:after="0"/>
        <w:ind w:left="0" w:right="0" w:firstLine="360"/>
        <w:jc w:val="both"/>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7">
              <w:r>
                <w:rPr>
                  <w:rStyle w:val="InternetLink"/>
                  <w:rFonts w:ascii="Times New Roman;Times;Serif" w:hAnsi="Times New Roman;Times;Serif"/>
                  <w:sz w:val="20"/>
                </w:rPr>
                <w:t>Form 20-F</w:t>
              </w:r>
            </w:hyperlink>
            <w:r>
              <w:rPr>
                <w:rFonts w:ascii="Times New Roman;Times;Serif" w:hAnsi="Times New Roman;Times;Serif"/>
                <w:sz w:val="20"/>
              </w:rPr>
              <w:t xml:space="preserve"> for the year ended December 31, 2025, filed with the SEC on April 29,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on Form 6-K that we furnish to the SEC after this prospectus that are identified in such reports as being incorporated by reference in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description of ADSs representing our ordinary shares contained in our Registration Statement on </w:t>
            </w:r>
            <w:hyperlink r:id="rId8">
              <w:r>
                <w:rPr>
                  <w:rStyle w:val="InternetLink"/>
                  <w:rFonts w:ascii="Times New Roman;Times;Serif" w:hAnsi="Times New Roman;Times;Serif"/>
                  <w:sz w:val="20"/>
                </w:rPr>
                <w:t>Form F-6</w:t>
              </w:r>
            </w:hyperlink>
            <w:r>
              <w:rPr>
                <w:rFonts w:ascii="Times New Roman;Times;Serif" w:hAnsi="Times New Roman;Times;Serif"/>
                <w:sz w:val="20"/>
              </w:rPr>
              <w:t xml:space="preserve"> filed with the SEC on January 16, 2025, including any amendments or reports filed for the purpose of updating such description;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applicable securities law, any other documents which we elect to incorporate by reference into this prospectus.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prior to the termination of any offering of securities under this prospectus. In all cases, you should rely on the later information over different information included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Ascentage Pharma Group Inc., 68 Xinqing Road, Suzhou Industrial Park, Suzhou, Jiangsu, China, telephone: +1 (301) 291-5658. You may also access these documents on our website, www.ascentage.com.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714500" cy="647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American Depositary Shares representing Ordinary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655" w:type="dxa"/>
        <w:jc w:val="left"/>
        <w:tblInd w:w="0" w:type="dxa"/>
        <w:tblLayout w:type="fixed"/>
        <w:tblCellMar>
          <w:top w:w="0" w:type="dxa"/>
          <w:left w:w="0" w:type="dxa"/>
          <w:bottom w:w="0" w:type="dxa"/>
          <w:right w:w="0" w:type="dxa"/>
        </w:tblCellMar>
      </w:tblPr>
      <w:tblGrid>
        <w:gridCol w:w="860"/>
        <w:gridCol w:w="1265"/>
        <w:gridCol w:w="530"/>
      </w:tblGrid>
      <w:tr>
        <w:trPr/>
        <w:tc>
          <w:tcPr>
            <w:tcW w:w="8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Citigroup</w:t>
            </w:r>
          </w:p>
        </w:tc>
        <w:tc>
          <w:tcPr>
            <w:tcW w:w="12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Deutsche Bank</w:t>
            </w:r>
          </w:p>
        </w:tc>
        <w:tc>
          <w:tcPr>
            <w:tcW w:w="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BTIG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July 17, 2026</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 Indemnification of Directors and Officers.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indemnification of officers and directors (apart from auditors), except to the extent any such provision may be held by the Cayman Islands courts to be contrary to the public policy, such as providing indemnification against civil fraud or the consequences of committing a crime. Our third amended and restated memorandum and articles of association provide that we will indemnify each director, managing director, alternate director, auditor, secretary and other officer for the time being of the Company and the trustees (if any) for the time being acting in relation to any of our affairs, and their respective executors or administrators against all actions, costs, charges, losses, damages and expenses incurred or sustained by such person by reason of any act done, concurred in or omitted in or about the execution of their duty or supposed duty in their respective offices or trusts, other than by reason of such person’s own dishonesty or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form of indemnification agreement, we agree to indemnify our directors and executive officers against certain liabilities and expenses incurred by such persons in connection with claims made by reason of their being such a director or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 or are incorporated herein by reference.</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837201ex1-2.htm">
              <w:r>
                <w:rPr>
                  <w:rStyle w:val="InternetLink"/>
                  <w:rFonts w:ascii="Times New Roman;Times;Serif" w:hAnsi="Times New Roman;Times;Serif"/>
                  <w:sz w:val="20"/>
                </w:rPr>
                <w:t>Sales Agreement, dated July 17, 2026 by and between the Registrant and the Sales Agents.</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3-1.htm">
              <w:r>
                <w:rPr>
                  <w:rStyle w:val="InternetLink"/>
                  <w:rFonts w:ascii="Times New Roman;Times;Serif" w:hAnsi="Times New Roman;Times;Serif"/>
                  <w:sz w:val="20"/>
                </w:rPr>
                <w:t>Third Amended and Restated Memorandum and Articles of Association of the Registrant.</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Specimen American Depositary Receipt (included in Exhibit 4.3).</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Registrant’s Specimen Certificate for ordinary shares incorporated by reference to Exhibit 4.2 to the Company’s Form F-1, as amended, initially filed with the SEC on January 21, 2025) (File No. 333-284064).</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4.3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Deposit Agreement, dated as of January 28, 2025, among the Registrant, the depositary and all holders and beneficial owners of American Depositary Shares (incorporated by reference to Exhibit (a) to the Company’s Form F-6 (File No. 333-284315), filed with the SEC on January 16, 2025).</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5-1.htm">
              <w:r>
                <w:rPr>
                  <w:rStyle w:val="InternetLink"/>
                  <w:rFonts w:ascii="Times New Roman;Times;Serif" w:hAnsi="Times New Roman;Times;Serif"/>
                  <w:sz w:val="20"/>
                </w:rPr>
                <w:t>Opinion of Walkers (Hong Kong).</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837201ex5-1.htm">
              <w:r>
                <w:rPr>
                  <w:rStyle w:val="InternetLink"/>
                  <w:rFonts w:ascii="Times New Roman;Times;Serif" w:hAnsi="Times New Roman;Times;Serif"/>
                  <w:sz w:val="20"/>
                </w:rPr>
                <w:t>Opinion of Walkers (Hong Kong) regarding certain Cayman Islands tax matters (included in Exhibit 5.1).</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8-2.htm">
              <w:r>
                <w:rPr>
                  <w:rStyle w:val="InternetLink"/>
                  <w:rFonts w:ascii="Times New Roman;Times;Serif" w:hAnsi="Times New Roman;Times;Serif"/>
                  <w:sz w:val="20"/>
                </w:rPr>
                <w:t>Opinion of JunHe LLP regarding certain PRC tax matters.</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837201ex23-1.htm">
              <w:r>
                <w:rPr>
                  <w:rStyle w:val="InternetLink"/>
                  <w:rFonts w:ascii="Times New Roman;Times;Serif" w:hAnsi="Times New Roman;Times;Serif"/>
                  <w:sz w:val="20"/>
                </w:rPr>
                <w:t>Consent of Ernst &amp; Young Hua Ming LLP, independent registered public accounting firm.</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5-1.htm">
              <w:r>
                <w:rPr>
                  <w:rStyle w:val="InternetLink"/>
                  <w:rFonts w:ascii="Times New Roman;Times;Serif" w:hAnsi="Times New Roman;Times;Serif"/>
                  <w:sz w:val="20"/>
                </w:rPr>
                <w:t>Consent of Walkers (Hong Kong) (included in Exhibit 5.1).</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29837201ex8-2.htm">
              <w:r>
                <w:rPr>
                  <w:rStyle w:val="InternetLink"/>
                  <w:rFonts w:ascii="Times New Roman;Times;Serif" w:hAnsi="Times New Roman;Times;Serif"/>
                  <w:sz w:val="20"/>
                </w:rPr>
                <w:t>Consent of JunHe LLP (included in Exhibit 8.2).</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23-4.htm">
              <w:r>
                <w:rPr>
                  <w:rStyle w:val="InternetLink"/>
                  <w:rFonts w:ascii="Times New Roman;Times;Serif" w:hAnsi="Times New Roman;Times;Serif"/>
                  <w:sz w:val="20"/>
                </w:rPr>
                <w:t>Consent of Frost &amp; Sullivan.</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50" w:type="dxa"/>
            <w:tcBorders/>
            <w:shd w:fill="FFFFFF" w:val="clear"/>
            <w:tcMar>
              <w:bottom w:w="0" w:type="dxa"/>
            </w:tcMar>
            <w:vAlign w:val="center"/>
          </w:tcPr>
          <w:p>
            <w:pPr>
              <w:pStyle w:val="TableContents"/>
              <w:bidi w:val="0"/>
              <w:spacing w:before="0" w:after="283"/>
              <w:jc w:val="both"/>
              <w:rPr/>
            </w:pPr>
            <w:hyperlink w:anchor="toc">
              <w:r>
                <w:rPr>
                  <w:rStyle w:val="InternetLink"/>
                  <w:rFonts w:ascii="Times New Roman;Times;Serif" w:hAnsi="Times New Roman;Times;Serif"/>
                  <w:sz w:val="20"/>
                </w:rPr>
                <w:t>Powers of Attorney (included on the signature page of this registration statement).</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837201ex-fee.htm">
              <w:r>
                <w:rPr>
                  <w:rStyle w:val="InternetLink"/>
                  <w:rFonts w:ascii="Times New Roman;Times;Serif" w:hAnsi="Times New Roman;Times;Serif"/>
                  <w:sz w:val="20"/>
                </w:rPr>
                <w:t>Filing Fee Table.</w:t>
              </w:r>
            </w:hyperlink>
          </w:p>
        </w:tc>
      </w:tr>
    </w:tbl>
    <w:p>
      <w:pPr>
        <w:pStyle w:val="TextBody"/>
        <w:bidi w:val="0"/>
        <w:spacing w:before="0" w:after="0"/>
        <w:ind w:left="180" w:right="0" w:hanging="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subsequently filed, if applicable, by an amendment to this registration statement or as an exhibit to a report pursuant to Section 13(a) or 15(d) of the Securities Exchange Act of 1934, including any Report on Form 6-K, and incorporated herein by reference.</w:t>
            </w:r>
          </w:p>
        </w:tc>
      </w:tr>
    </w:tbl>
    <w:p>
      <w:pPr>
        <w:pStyle w:val="TextBody"/>
        <w:bidi w:val="0"/>
        <w:spacing w:before="0" w:after="0"/>
        <w:ind w:left="180" w:right="0" w:hanging="18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 Undertakings.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of 1933 to any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of 1933 to any purchaser in the initial distribution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5" w:name="toc"/>
      <w:bookmarkEnd w:id="35"/>
      <w:r>
        <w:rPr>
          <w:rFonts w:ascii="Times New Roman;Times;Serif" w:hAnsi="Times New Roman;Times;Serif"/>
          <w:b/>
          <w:i w:val="false"/>
          <w:caps w:val="false"/>
          <w:smallCaps w:val="false"/>
          <w:sz w:val="20"/>
        </w:rPr>
        <w:t>SIGNATURES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Suzhou, China, on July 17, 2026.</w:t>
      </w:r>
    </w:p>
    <w:p>
      <w:pPr>
        <w:pStyle w:val="TextBody"/>
        <w:bidi w:val="0"/>
        <w:spacing w:before="0" w:after="0"/>
        <w:ind w:left="0" w:right="0" w:firstLine="360"/>
        <w:jc w:val="both"/>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75"/>
        <w:gridCol w:w="722"/>
        <w:gridCol w:w="3842"/>
      </w:tblGrid>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84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Dajun Yang</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3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Dajun Yang</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8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Ascentage Pharma Group International hereby severally constitute and appoint Dajun Yang and Thomas J. Knapp, and each of them singly, our true and lawful attorneys with full power to any of them, and to each of them singly, to sign for us and in our names in the capacities indicated below the Registration Statement on Form F-3 filed herewith and any and all amendments (including post-effective amendments) to said Registration Statement, and any registration statement filed pursuant to Rule 462 under the Securities Act of 1933, as amended, in connection with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Ascentage Pharma Group International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2135"/>
        <w:gridCol w:w="60"/>
        <w:gridCol w:w="3635"/>
        <w:gridCol w:w="60"/>
        <w:gridCol w:w="1145"/>
      </w:tblGrid>
      <w:tr>
        <w:trPr/>
        <w:tc>
          <w:tcPr>
            <w:tcW w:w="213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Dajun Yang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and Chief Executive Officer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Dajun Yang, M.D., Ph.D.</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Veet Misra</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Veet Misra</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Marina S. Bozilenko</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Marina S. Bozilenko</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Marc E. Lippman</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 E. Lippman, M.D.</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Simon Dazhong Lu</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Simon Dazhong Lu, Ph.D.</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Wei Ren</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 Ren</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Sidransky</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Sidransky, M.D.</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Shaomeng Wang</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Shaomeng Wang, Ph.D.</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Changqing Ye</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Changqing Ye</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1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Debra Yu</w:t>
            </w:r>
          </w:p>
        </w:tc>
        <w:tc>
          <w:tcPr>
            <w:tcW w:w="60" w:type="dxa"/>
            <w:tcBorders/>
            <w:tcMar>
              <w:bottom w:w="0" w:type="dxa"/>
            </w:tcMar>
            <w:vAlign w:val="center"/>
          </w:tcPr>
          <w:p>
            <w:pPr>
              <w:pStyle w:val="TableContents"/>
              <w:bidi w:val="0"/>
              <w:spacing w:before="0" w:after="283"/>
              <w:jc w:val="center"/>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2026</w:t>
            </w:r>
          </w:p>
        </w:tc>
      </w:tr>
      <w:tr>
        <w:trPr/>
        <w:tc>
          <w:tcPr>
            <w:tcW w:w="21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Debra Yu</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Ascentage Pharma Group International, has signed this registration statement on July 17, 2026.</w:t>
      </w:r>
    </w:p>
    <w:p>
      <w:pPr>
        <w:pStyle w:val="TextBody"/>
        <w:bidi w:val="0"/>
        <w:spacing w:before="0" w:after="0"/>
        <w:ind w:left="0" w:right="0" w:firstLine="360"/>
        <w:jc w:val="both"/>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75"/>
        <w:gridCol w:w="722"/>
        <w:gridCol w:w="3842"/>
      </w:tblGrid>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84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Dajun Yang</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3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Dajun Yang</w:t>
            </w:r>
          </w:p>
        </w:tc>
      </w:tr>
      <w:tr>
        <w:trPr/>
        <w:tc>
          <w:tcPr>
            <w:tcW w:w="75"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8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36" w:name="ea029837201ex1-2.htm"/>
      <w:bookmarkStart w:id="37" w:name="ksea029837201ex12"/>
      <w:bookmarkEnd w:id="36"/>
      <w:bookmarkEnd w:id="37"/>
      <w:r>
        <w:rPr>
          <w:b/>
        </w:rPr>
        <w:t>Exhibit 1.2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br/>
        <w:t>Deutsche Bank AG, Hong Kong Branch</w:t>
        <w:br/>
        <w:t>BTIG,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Deutsche Bank AG, Hong Kong Branch</w:t>
        <w:br/>
        <w:t>60/F, International Commerce Centre</w:t>
        <w:br/>
        <w:t>1 Austin Road West</w:t>
        <w:br/>
        <w:t>Kowloon,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BTIG, LLC</w:t>
        <w:br/>
        <w:t>65 East 55th Street</w:t>
        <w:b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subject to the terms and conditions stated herein, to issue and sell from time to time through Citigroup Global Markets Inc. (“</w:t>
      </w:r>
      <w:r>
        <w:rPr>
          <w:rFonts w:ascii="Times New Roman;Times;Serif" w:hAnsi="Times New Roman;Times;Serif"/>
          <w:b/>
          <w:i w:val="false"/>
          <w:caps w:val="false"/>
          <w:smallCaps w:val="false"/>
          <w:sz w:val="20"/>
        </w:rPr>
        <w:t>Citi</w:t>
      </w:r>
      <w:r>
        <w:rPr>
          <w:rFonts w:ascii="Times New Roman;Times;Serif" w:hAnsi="Times New Roman;Times;Serif"/>
          <w:b w:val="false"/>
          <w:i w:val="false"/>
          <w:caps w:val="false"/>
          <w:smallCaps w:val="false"/>
          <w:sz w:val="20"/>
        </w:rPr>
        <w:t>”), Deutsche Bank AG, Hong Kong Branch (“</w:t>
      </w:r>
      <w:r>
        <w:rPr>
          <w:rFonts w:ascii="Times New Roman;Times;Serif" w:hAnsi="Times New Roman;Times;Serif"/>
          <w:b/>
          <w:i w:val="false"/>
          <w:caps w:val="false"/>
          <w:smallCaps w:val="false"/>
          <w:sz w:val="20"/>
        </w:rPr>
        <w:t>DB</w:t>
      </w:r>
      <w:r>
        <w:rPr>
          <w:rFonts w:ascii="Times New Roman;Times;Serif" w:hAnsi="Times New Roman;Times;Serif"/>
          <w:b w:val="false"/>
          <w:i w:val="false"/>
          <w:caps w:val="false"/>
          <w:smallCaps w:val="false"/>
          <w:sz w:val="20"/>
        </w:rPr>
        <w:t>”) and BTIG, LLC (“</w:t>
      </w:r>
      <w:r>
        <w:rPr>
          <w:rFonts w:ascii="Times New Roman;Times;Serif" w:hAnsi="Times New Roman;Times;Serif"/>
          <w:b/>
          <w:i w:val="false"/>
          <w:caps w:val="false"/>
          <w:smallCaps w:val="false"/>
          <w:sz w:val="20"/>
        </w:rPr>
        <w:t>BTIG</w:t>
      </w:r>
      <w:r>
        <w:rPr>
          <w:rFonts w:ascii="Times New Roman;Times;Serif" w:hAnsi="Times New Roman;Times;Serif"/>
          <w:b w:val="false"/>
          <w:i w:val="false"/>
          <w:caps w:val="false"/>
          <w:smallCaps w:val="false"/>
          <w:sz w:val="20"/>
        </w:rPr>
        <w:t>”), each as sales agent and/or principal (each,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American Depositary Shares (the “</w:t>
      </w:r>
      <w:r>
        <w:rPr>
          <w:rFonts w:ascii="Times New Roman;Times;Serif" w:hAnsi="Times New Roman;Times;Serif"/>
          <w:b/>
          <w:i w:val="false"/>
          <w:caps w:val="false"/>
          <w:smallCaps w:val="false"/>
          <w:sz w:val="20"/>
        </w:rPr>
        <w:t>ADS</w:t>
      </w:r>
      <w:r>
        <w:rPr>
          <w:rFonts w:ascii="Times New Roman;Times;Serif" w:hAnsi="Times New Roman;Times;Serif"/>
          <w:b w:val="false"/>
          <w:i w:val="false"/>
          <w:caps w:val="false"/>
          <w:smallCaps w:val="false"/>
          <w:sz w:val="20"/>
        </w:rPr>
        <w:t>”), each representing four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par value US$0.0001 per share (the “</w:t>
      </w:r>
      <w:r>
        <w:rPr>
          <w:rFonts w:ascii="Times New Roman;Times;Serif" w:hAnsi="Times New Roman;Times;Serif"/>
          <w:b/>
          <w:i w:val="false"/>
          <w:caps w:val="false"/>
          <w:smallCaps w:val="false"/>
          <w:sz w:val="20"/>
        </w:rPr>
        <w:t>Placement ADSs</w:t>
      </w:r>
      <w:r>
        <w:rPr>
          <w:rFonts w:ascii="Times New Roman;Times;Serif" w:hAnsi="Times New Roman;Times;Serif"/>
          <w:b w:val="false"/>
          <w:i w:val="false"/>
          <w:caps w:val="false"/>
          <w:smallCaps w:val="false"/>
          <w:sz w:val="20"/>
        </w:rPr>
        <w:t>”) on the terms set forth in this sales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will be evidenced by American Depositary Receipts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to be issued pursuant to that certain deposit agreement, dated as of January 28, 2025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among the Company, JPMorgan Chase Bank, N.A., as depositary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and all holders and beneficial owners from time to time of ADRs evidencing ADSs issued thereunder.</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herein and not otherwise defined shall have the following respective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Agency Period</w:t>
      </w:r>
      <w:r>
        <w:rPr>
          <w:rFonts w:ascii="Times New Roman;Times;Serif" w:hAnsi="Times New Roman;Times;Serif"/>
          <w:b w:val="false"/>
          <w:i w:val="false"/>
          <w:caps w:val="false"/>
          <w:smallCaps w:val="false"/>
          <w:sz w:val="20"/>
        </w:rPr>
        <w:t xml:space="preserve">” means the period commencing on the date of this Agreement and expiring on the date this Agreement is terminated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 means the minimum price, set by the Company in the Issuance Notice, below which the applicable Agent shall not sell Placement ADSs during the applicable period set forth in the Issuance Notice, which may be adjusted by the Company at any time during the period set forth in the Issuance Notice by delivering written notice of such change to the applicable Agent and which in no event shall be less than $1.00 without the prior written consent of such Agent, which may be withheld in such Agent’s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Amount</w:t>
      </w:r>
      <w:r>
        <w:rPr>
          <w:rFonts w:ascii="Times New Roman;Times;Serif" w:hAnsi="Times New Roman;Times;Serif"/>
          <w:b w:val="false"/>
          <w:i w:val="false"/>
          <w:caps w:val="false"/>
          <w:smallCaps w:val="false"/>
          <w:sz w:val="20"/>
        </w:rPr>
        <w:t>” means the aggregate Sales Price of the Placement ADSs to be sold by the applicable Agent pursuant to any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w:t>
      </w:r>
      <w:r>
        <w:rPr>
          <w:rFonts w:ascii="Times New Roman;Times;Serif" w:hAnsi="Times New Roman;Times;Serif"/>
          <w:b w:val="false"/>
          <w:i w:val="false"/>
          <w:caps w:val="false"/>
          <w:smallCaps w:val="false"/>
          <w:sz w:val="20"/>
        </w:rPr>
        <w:t xml:space="preserve">” means a written notice delivered to the applicable Agent by the Company in accordance with this Agreement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that is executed by its Chief Executive Officer or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 Date</w:t>
      </w:r>
      <w:r>
        <w:rPr>
          <w:rFonts w:ascii="Times New Roman;Times;Serif" w:hAnsi="Times New Roman;Times;Serif"/>
          <w:b w:val="false"/>
          <w:i w:val="false"/>
          <w:caps w:val="false"/>
          <w:smallCaps w:val="false"/>
          <w:sz w:val="20"/>
        </w:rPr>
        <w:t xml:space="preserve">” means any Trading Day during the Agency Period that an Issuance Notice is delivered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Price</w:t>
      </w:r>
      <w:r>
        <w:rPr>
          <w:rFonts w:ascii="Times New Roman;Times;Serif" w:hAnsi="Times New Roman;Times;Serif"/>
          <w:b w:val="false"/>
          <w:i w:val="false"/>
          <w:caps w:val="false"/>
          <w:smallCaps w:val="false"/>
          <w:sz w:val="20"/>
        </w:rPr>
        <w:t>” means the Sales Price less the Selling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Program Amount</w:t>
      </w:r>
      <w:r>
        <w:rPr>
          <w:rFonts w:ascii="Times New Roman;Times;Serif" w:hAnsi="Times New Roman;Times;Serif"/>
          <w:b w:val="false"/>
          <w:i w:val="false"/>
          <w:caps w:val="false"/>
          <w:smallCaps w:val="false"/>
          <w:sz w:val="20"/>
        </w:rPr>
        <w:t>” means Placement ADSs with an aggregate Sales Price of the lesser of (a) the number or dollar amount of Placement ADSs registered under the effective Registration Statement (defined below) pursuant to which the offering is being made, (b) the number of Placement ADSs for which Ordinary Shares have been authorized but not yet issued (less Ordinary Shares issuable upon exercise, conversion or exchange of any outstanding securities of the Company or otherwise reserved from the Company’s authorized share capital), (c) the number or dollar amount of Placement ADSs permitted to be sold under Form F-3 or (d) the number or dollar amount of Placement ADSs for which the Company has filed a Prospectus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Global Market or such other national securities exchange on which the ADSs, including any Placement ADSs, are then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means any registration statement filed by the Company pursuant to Rule 462(b) under the Securities Act in connection with the offer and sale of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t>” means the actual sale execution price of each Placement ADS placed by the applicable Agent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Selling Commission</w:t>
      </w:r>
      <w:r>
        <w:rPr>
          <w:rFonts w:ascii="Times New Roman;Times;Serif" w:hAnsi="Times New Roman;Times;Serif"/>
          <w:b w:val="false"/>
          <w:i w:val="false"/>
          <w:caps w:val="false"/>
          <w:smallCaps w:val="false"/>
          <w:sz w:val="20"/>
        </w:rPr>
        <w:t>” means up to three percent (3.0%) of the gross proceeds of Placement ADSs sold pursuant to this Agreement, or as otherwise agreed between the Company and the applicable Agent with respect to any Placement ADSs sold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means the first business day that is also a Trading Day, or such other time period as required by the Exchange Act or by the rules promulgated thereunder, following each Trading Day during the period set forth in the Issuance Notice on which Placement ADSs are sold pursuant to this Agreement, when the Company shall deliver to the applicable Agent the amount of Placement ADSs sold on such Trading Day and the applicable Agent shall deliver to the Company the Issuance Price received on such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and agrees with, the Agents that as of (1) the date of this Agreement, (2) each Issuance Notice Date, (3) each Settlement Date, (4) each Triggering Event Date (as defined below) with respect to which the Company is required to deliver a certificate pursuant to Section 4(p) (and such requirement is not waived) and (5) as of each Time of Sale (as defined below) (each of the times referenced above is referred to herein as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except as may be disclosed in the Prospectus (including any documents incorporated by reference therein and any supplements thereto) on or before a Representation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or will file, as applicable, with the Commission an automatic shelf registration statement, as defined under Rule 405 of the Securities Act, on Form F-3ASR that contains a base prospectus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 Such registration statement registers the issuance and sale by the Company of the Placement ADSs under the Securities Act. The Company may file one or more additional registration statements from time to time that will contain a base prospectus and related prospectus or prospectus supplement, if applicable, with respect to the Placement ADSs. Except where the context otherwise requires, such registration statement(s), as of any time, refers to (i) initially, the Original Registration Statement and (ii) on and after the date on which the Placement ADSs may no longer be offered and sold pursuant to the Original Registration Statement, any registration statement filed by the Company for the purpose of continuing the offering of the Placement ADSs, in each case, including any information deemed to be a part thereof pursuant to Rule 430B under the Securities Act, including all financial statements, exhibits and schedules thereto and all documents and information incorporated or deemed to be incorporated therein by reference pursuant to Item 6 of Form F-3 under the Securities Act as from time to time amended or supplemented, is herein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base prospectus filed as part of the Registration Statement, as amended in the form in which it has been filed most recently with the Commission, including the documents and information incorporated or deemed incorporated by reference therein pursuant to Item 6 of Form F-3 under the Securities Act, is referred to herein as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Any prospectus supplement filed with the Commission pursuant to Rule 424(b) under the Securities Act relating to a particular issuance of the Placement ADSs, including all documents and information incorporated or deemed to be incorporated therein by reference pursuant to Item 6 of Form F-3 under the Securities Act, in each case, as from time to time amended or supplemented, is referred to herein as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The Base Prospectus, any Prospectus Supplement and any applicable Free Writing Prospectus thereto, in the form the Base Prospectus, the Prospectus Supplement and any such Free Writing Prospectus are first furnished to the Agents for use in connection with the offering and sale of Placement ADSs, are collectively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Except that if any revised prospectus is provided to the Agents by the Company for use in connection with the offering of the Placement ADSs that is not required to be filed by the Company pursuant to Rule 424(b) under the Securities Act, the term “Prospectus” shall refer to such revised prospectus from and after the time it is first provided to the Agents for such use.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or deliver or make available (and all other references of like import) copies of any report or statement shall be deemed satisfied if the same is filed with the Commission through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Registration Statement is an “automatic shelf registration statement,” as defined in Rule 405 under the Securities Act, and will become effective upon filing under Rule 462(e) of the regulations of the Securities Act. The Company has not received from the Commission any notice pursuant to Rule 401(g)(2) under the Securities Act objecting to the Company’s use of the automatic shelf registration form. At the time the Registration Statement became or will become effective, and at the time the Company’s most recent annual report on Form 20-F was filed with the Commission, if later, the Company met the then-applicable requirements for use of Form F-3 under the Securities Act. During the Agency Period, each time the Company files an annual report on Form 20-F or undergoes a fundamental change, the Company will use its best efforts to meet the then-applicable requirements for use of Form F-3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The Original Registration Statement and any Rule 462(b) Registration Statement became or will become effective under the Securities Act.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Company’s knowledge, are contemplated or threatened by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when filed complied or will comply in all material respects with the Securities Act and, if filed with the Commission through EDGAR (except as may be permitted by Regulation S-T under the Securities Act), was identical to the copy thereof delivered to the Agents for use in connection with the issuance and sale of the Placement ADSs.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at each Representation Date and at each Settlement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any Agent furnished to the Company in writing by such Agent expressly for use therein, it being understood and agreed that the only such information furnished by the Agents to the Company consists of the information described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Placement ADSs as contemplated hereby meet the requirements of Rule 415 under the Securities Act and comply with said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Ineligible Issuer Status</w:t>
      </w:r>
      <w:r>
        <w:rPr>
          <w:rFonts w:ascii="Times New Roman;Times;Serif" w:hAnsi="Times New Roman;Times;Serif"/>
          <w:b w:val="false"/>
          <w:i w:val="false"/>
          <w:caps w:val="false"/>
          <w:smallCaps w:val="false"/>
          <w:sz w:val="20"/>
        </w:rPr>
        <w:t>. The Company is not an “ineligible issuer” in connection with the offering of the Placement ADSs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at each Representation Date and at each Settlement Date through the completion of the issuance and sale of the Placement ADSs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which consent shall not be unreasonably withheld, conditioned or delayed, prepare, use or refer to, any Free Writing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xml:space="preserve">. The documents incorporated or deemed to be incorporated by reference in the Prospectus, at the time they were or hereafter are filed with the Commission, and any Free </w:t>
      </w:r>
      <w:r>
        <w:rPr>
          <w:rFonts w:ascii="Times New Roman;Times;Serif" w:hAnsi="Times New Roman;Times;Serif"/>
          <w:b w:val="false"/>
          <w:i w:val="false"/>
          <w:caps w:val="false"/>
          <w:smallCaps w:val="false"/>
          <w:sz w:val="20"/>
          <w:u w:val="single"/>
        </w:rPr>
        <w:t>Writing</w:t>
      </w:r>
      <w:r>
        <w:rPr>
          <w:rFonts w:ascii="Times New Roman;Times;Serif" w:hAnsi="Times New Roman;Times;Serif"/>
          <w:b w:val="false"/>
          <w:i w:val="false"/>
          <w:caps w:val="false"/>
          <w:smallCaps w:val="false"/>
          <w:sz w:val="20"/>
        </w:rPr>
        <w:t xml:space="preserve"> Prospectus or amendment or supplement thereto, complied and will comply in all material respects with the requirements of the Exchange Act, and, when read together with the other information in the Prospectus, at the time the Registration Statement and any amendments thereto became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(A) At the time of effectiveness of the Original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Securities Act) made any offer relating to the Placement ADSs in reliance on the exemption of Rule 163 under the Securities Act, and (D) as of the Time of Sale, the Company was and is a “well-known seasoned issuer,” as defined in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Foreign Private Issuer</w:t>
      </w:r>
      <w:r>
        <w:rPr>
          <w:rFonts w:ascii="Times New Roman;Times;Serif" w:hAnsi="Times New Roman;Times;Serif"/>
          <w:b w:val="false"/>
          <w:i w:val="false"/>
          <w:caps w:val="false"/>
          <w:smallCaps w:val="false"/>
          <w:sz w:val="20"/>
        </w:rPr>
        <w:t>. The Company is a “foreign private issuer” within the meaning of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Nothing has come to the attention of the Company that has caused the Company to believe that the statistical and market-related data included or incorporated by reference in the Registration Statement or the Prospectus are not based on or derived from sources that are reliable and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Disclosure Controls and Procedures; Deficiencies in or Changes to Internal Control Over Financial Reporting</w:t>
      </w:r>
      <w:r>
        <w:rPr>
          <w:rFonts w:ascii="Times New Roman;Times;Serif" w:hAnsi="Times New Roman;Times;Serif"/>
          <w:b w:val="false"/>
          <w:i w:val="false"/>
          <w:caps w:val="false"/>
          <w:smallCaps w:val="false"/>
          <w:sz w:val="20"/>
        </w:rPr>
        <w:t>. The Company and each of its subsidiaries have established and maintain disclosure controls and procedures (as such term is defined in Rules 13a-15(e) and 15d-15(e) under the Exchange Act). Such disclosure controls and procedures (i) comply with the requirements of the Exchange Act applicable to the Company, (ii) have been designed to ensure that information relating to the Company and its subsidiaries, including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particularly during the periods in which the Company’s periodic reports required under the Exchange Act are being prepared, (iii) have been evaluated by management of the Company for effectiveness as of the end of the Company’s most recent audited financial year; and (iv) are effective in all material respects to perform the functions for which they were established. Except as disclosed in the Registration Statement and the Prospectus,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Except as disclosed in the Registration Statement and the Prospectus, the Company is not aware of any change in its internal control over financial reporting that has occurred during its most recent fiscal period that has materially affected, or is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This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Authorization of the Placement ADSs</w:t>
      </w:r>
      <w:r>
        <w:rPr>
          <w:rFonts w:ascii="Times New Roman;Times;Serif" w:hAnsi="Times New Roman;Times;Serif"/>
          <w:b w:val="false"/>
          <w:i w:val="false"/>
          <w:caps w:val="false"/>
          <w:smallCaps w:val="false"/>
          <w:sz w:val="20"/>
        </w:rPr>
        <w:t>. The Placement ADSs and the Ordinary Shares underlying such Placement ADSs have been duly and validly authorized for issuance and sale by the Company pursuant to this Agreement and, when issued and delivered against payment therefor as provided herein, will be duly and validly issued and fully paid and non-assessable and conforms in all material respects to the description of the ADSs and the Ordinary Shares contained in the Registration Statement and the Prospectus; the issuance of the Placement ADSs and the Ordinary Shares underlying such Placement ADSs is not subject to any preemptive or similar rights that have not been duly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ADRs evidencing the Placement ADSs against the deposit of the Ordinary Shares underlying the Placement ADSs in respect thereof in accordance with the provisions of the Deposit Agreement, such ADRs will be duly and validly issued and the persons in whose names the ADRs are registered will be entitled to the rights specified therein and in the Deposit Agreement. The issuance and sale of the Placement ADSs by the Company and the deposit of the Ordinary Shares with the Depositary and the issuance of the ADRs evidencing the Ordinary Shares as contemplated by this Agreement and the Deposit Agreement will neither (i) cause any holder of any Ordinary Shares or ADSs, securities convertible into or exchangeable or exercisable for Ordinary Shares or ADSs or options, warrants or other rights to purchase Ordinary Shares or ADSs or any other securities of the Company to have any right to acquire any preferred shares of the Company nor (ii) trigger any anti-dilution rights of any such holder with respect to such Ordinary Shares, ADSs, securities, options, warrants or rights, except as have been duly and reliably satisfied or waived as of the date hereof. The Deposit Agreement and the ADRs conform in all material respects to each description thereof in the Prospectus. Each holder of ADRs issued pursuant to the Deposit Agreement shall be entitled, subject to the Deposit Agreement, to seek enforcement of its rights through the Depositary or its nominee registered as a representative of the holders of the ADRs in a direct suit, action or proceeding against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No holder of any Placement ADSs or underlying Ordinary Shares after the consummation of the transactions contemplated by this Agreement or the Deposit Agreement is or will be subject to any personal liability in respect of any liability of the Company by virtue only of its holding of any such Placement ADSs or underlying Ordinary Shares; and except as set forth in the Registration Statement and the Prospectus, there are no limitations on the rights of holders of the Placement ADSs to hold or transfer their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There are no persons with registration or other similar rights to have any equity or debt securities included in the offering contemplated by this Agreement, except for such rights as have been duly waived or satisfied and have been disclosed in the Registration Statement and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Neither the Company nor any of its subsidiaries has, since the date of the latest audited financial statements included or incorporated by reference in the Registration Statement and the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and the Prospectus; and, since the respective dates as of which information is given in the Registration Statement and the Prospectus, there has not been (x) any change in the share capital (other than as a result of (i) the exercise, if any, of options or the award, if any, of options or restricted shares in the ordinary course of business pursuant to the Company’s equity plans that are described in the Registration Statement and the Prospectus or (ii) the issuance, if any, of Ordinary Shares or ADSs upon conversion or settlement of Company securities as described in the Registration Statement and the Prospectus) or long term debt of the Company or any of its subsidiaries or (y) any Material Adverse Effect (as defined below); as used in this Agreement,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any material adverse change or effect, or any development that would reasonably be expected to result in a material adverse change or effect, in or affecting (i) the business, properties, general affairs, management, financial position, shareholders’ equity, results of operations or prospects of the Company and its subsidiaries, taken as a whole, except as set forth or contemplated in the Registration Statement and the Prospectus, or (ii) the ability of the Company to perform its obligations under this Agreement, including the issuance and sale of the Placement ADSs, or to consummate the transactions contemplated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xml:space="preserve">. The accountant(s) who have audited the consolidated financial statements of the Company and its subsidiaries included or incorporated by reference in each of the Registration Statement and the Prospectus are (i) independent public accountant(s) as required by the Securities Act, the Exchange Act and the rules and regulations of the Commission thereunder and (ii) are registered public accounting firm(s) as defined by the Public Company Accounting </w:t>
      </w:r>
      <w:r>
        <w:rPr>
          <w:rFonts w:ascii="Times New Roman;Times;Serif" w:hAnsi="Times New Roman;Times;Serif"/>
          <w:b w:val="false"/>
          <w:i w:val="false"/>
          <w:caps w:val="false"/>
          <w:smallCaps w:val="false"/>
          <w:sz w:val="20"/>
          <w:u w:val="single"/>
        </w:rPr>
        <w:t>Oversight</w:t>
      </w:r>
      <w:r>
        <w:rPr>
          <w:rFonts w:ascii="Times New Roman;Times;Serif" w:hAnsi="Times New Roman;Times;Serif"/>
          <w:b w:val="false"/>
          <w:i w:val="false"/>
          <w:caps w:val="false"/>
          <w:smallCaps w:val="false"/>
          <w:sz w:val="20"/>
        </w:rPr>
        <w:t xml:space="preserve">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whose registration has not been suspended or revoked and who has not requested such registration to be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of the Company included or incorporated by reference in the Registration Statement and the Prospectus, together with the related schedules and notes, present fairly in all material respects the financial position of the Company and its consolidated subsidiaries at the dates indicated and the consolidated statements of comprehensive loss, statement of financial positions, consolidated statements of changes in equity, and consolidated statements of cash flows of the Company and its consolidated subsidiaries for the periods specified; said financial statements have been prepared in conformity with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as issued by the International Accounting Standards Board applied on a consistent basis throughout the periods involved. The supporting schedules, if any, present fairly in all material respects and in accordance with IFRS the information required to be stated therein. The summary financial information included or incorporated by reference in the Registration Statement and the Prospectus present fairly in all material respects the information shown therein and have been compiled on a basis consistent with that of the audited financial statements included therein.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part of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Company’s Accounting Controls</w:t>
      </w:r>
      <w:r>
        <w:rPr>
          <w:rFonts w:ascii="Times New Roman;Times;Serif" w:hAnsi="Times New Roman;Times;Serif"/>
          <w:b w:val="false"/>
          <w:i w:val="false"/>
          <w:caps w:val="false"/>
          <w:smallCaps w:val="false"/>
          <w:sz w:val="20"/>
        </w:rPr>
        <w:t>. The Company and each of its subsidiaries maintain a system of internal control over financial reporting (as such term is defined in Rule 13a-15(f) under the Exchange Act) that (i) complies with the requirements of the Exchange Act applicable to the Company and its subsidiaries,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IFRS and (iii) is sufficient to provide reasonable assurance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 Oxley Act of 2002 and the rules and regulations promulgated in connection therewith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as of an earlier date than it would otherwise be required to so comply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Incorporation and Good Standing of the Company and its Subsidiaries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has been duly organized and is validly existing as a corporation in good standing under the laws of the Cayman Islands and has all requisite power and authority to own, lease and operate its properties and to conduct its business as described in the Registration Statement and the Prospectus and to enter into and perform its obligations under, and to consummate the transactions contemplated in, this Agreement. The Company is duly qualified as a foreign corporation to transact business and is in good standing in each jurisdiction in which it owns or leases properties or conducts any business so as to require such qualification, except where the failure to be so qualified, or to be in good standing would not individually or in the aggregate, reasonably be expected to have a Material Adverse Effect, and each subsidiary of the Company that is required to be listed in the Registration Statement, the Prospectus or Exhibit 8.1 to the Company’s Annual Report on Form 20-F for the most recent fiscal year has been so listed (each,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Significant Subsidiaries</w:t>
      </w:r>
      <w:r>
        <w:rPr>
          <w:rFonts w:ascii="Times New Roman;Times;Serif" w:hAnsi="Times New Roman;Times;Serif"/>
          <w:b w:val="false"/>
          <w:i w:val="false"/>
          <w:caps w:val="false"/>
          <w:smallCaps w:val="false"/>
          <w:sz w:val="20"/>
        </w:rPr>
        <w:t>”). Each Significant Subsidiary has been duly incorporated or organized and is validly existing in good standing under the laws of the jurisdiction of its incorporation or organization, has all requisite power and authority to own, lease and operate its properties and to conduct its business as described in the Registration Statement and the Prospectus and is duly qualified to transact business and is in good standing in each jurisdiction in which such qualification is required, whether by reason of the ownership or leasing of property or the conduct of business, except where the failure so to qualify or to be in good standing would not, singly or in the aggregate, result in a Material Adverse Effect. Except as described in the Registration Statement and the Prospectus, all of the outstanding shares of capital stock of or other equity interests in each Significant Subsidiary have been duly authorized and validly issued, are fully paid and non-assessable and are owned by the Company, directly or through other subsidiaries of the Company, free and clear of any security interest, mortgage, pledge, lien, encumbrance, claim or equity. None of the outstanding shares of capital stock of or other equity interests in any Significant Subsidiary were issued in violation of the preemptive or similar rights of any securityholder of such Significant Subsidiary or any other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Capitalization and Other Share Capital Matters</w:t>
      </w:r>
      <w:r>
        <w:rPr>
          <w:rFonts w:ascii="Times New Roman;Times;Serif" w:hAnsi="Times New Roman;Times;Serif"/>
          <w:b w:val="false"/>
          <w:i w:val="false"/>
          <w:caps w:val="false"/>
          <w:smallCaps w:val="false"/>
          <w:sz w:val="20"/>
        </w:rPr>
        <w:t>. The Company has an authorized capitalization as set forth in the Registration Statement and the Prospectus in the column entitled “Actual” under the section “Capitalization and Indebtedness”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of the issued share capital of the Company has been duly and validly authorized and issued and are fully paid and non-assessable and were not issued in violation of any preemptive or similar rights and conform in all material respects to the description of the Ordinary Shares and ADSs contained in the Registration Statement and the Prospectus. All of the issued share capital of each subsidiary of the Company have been duly and validly authorized and issued, are fully paid and non-assessable and are owned directly or indirectly by the Company, free and clear of all liens, encumbrances, equities or claims, except for such liens, encumbrances, equities or claims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Company’s Ordinary Shares have been registered pursuant to Section 12(b) of the Exchange Act, the ADSs are listed on the Principal Market, and the Company has taken no action designed to, or likely to have the effect of, terminating the registration of the Ordinary Shares under the Exchange Act or the listing of the ADSs (including the Placement ADSs) on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Non-Contravention of Existing Instruments; No Further Authorizations or Approvals Required</w:t>
      </w:r>
      <w:r>
        <w:rPr>
          <w:rFonts w:ascii="Times New Roman;Times;Serif" w:hAnsi="Times New Roman;Times;Serif"/>
          <w:b w:val="false"/>
          <w:i w:val="false"/>
          <w:caps w:val="false"/>
          <w:smallCaps w:val="false"/>
          <w:sz w:val="20"/>
        </w:rPr>
        <w:t>. The issue and sale of the Placement ADSs and the compliance by the Company with this Agreement and the consummation by the Company of the transactions contemplated in this Agreement, the Registration Statement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this clause (A) for such defaults, breaches, or violations that would not, individually or in the aggregate, reasonably be expected to have a Material Adverse Effect, (B) the memorandum and articles of association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(C) for such violations that would not, individually or in the aggregate, reasonably be expected to have a Material Adverse Effect; and except as would not, individually or in the aggregate, result in a Material Adverse Effect, no consent, approval, authorization, order, registration or qualification of or with any such court or governmental agency or body is required for the issue and sale of the Placement ADSs or the consummation by the Company of the transactions contemplated by this Agreement, except such as have been obtained under the Securities Act, the approval by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of the underwriting terms and arrangements, the approval for listing additional ADSs on the Principal Market and such consents, approvals, authorizations, registrations or qualifications as may be required under state securities or Blue Sky laws, the rules of the Stock Exchange of Hong Kong (the “</w:t>
      </w:r>
      <w:r>
        <w:rPr>
          <w:rFonts w:ascii="Times New Roman;Times;Serif" w:hAnsi="Times New Roman;Times;Serif"/>
          <w:b/>
          <w:i w:val="false"/>
          <w:caps w:val="false"/>
          <w:smallCaps w:val="false"/>
          <w:sz w:val="20"/>
        </w:rPr>
        <w:t>SEHK</w:t>
      </w:r>
      <w:r>
        <w:rPr>
          <w:rFonts w:ascii="Times New Roman;Times;Serif" w:hAnsi="Times New Roman;Times;Serif"/>
          <w:b w:val="false"/>
          <w:i w:val="false"/>
          <w:caps w:val="false"/>
          <w:smallCaps w:val="false"/>
          <w:sz w:val="20"/>
        </w:rPr>
        <w:t>”), the Trial Administrative Measures of Overseas Securities Offering and Listing by Domestic Companies and supporting guidelines issued by the China Securities Regulatory Commission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as amended, supplemented or otherwise modified from time to time (the “</w:t>
      </w:r>
      <w:r>
        <w:rPr>
          <w:rFonts w:ascii="Times New Roman;Times;Serif" w:hAnsi="Times New Roman;Times;Serif"/>
          <w:b/>
          <w:i w:val="false"/>
          <w:caps w:val="false"/>
          <w:smallCaps w:val="false"/>
          <w:sz w:val="20"/>
        </w:rPr>
        <w:t>CSRC Filing Rules</w:t>
      </w:r>
      <w:r>
        <w:rPr>
          <w:rFonts w:ascii="Times New Roman;Times;Serif" w:hAnsi="Times New Roman;Times;Serif"/>
          <w:b w:val="false"/>
          <w:i w:val="false"/>
          <w:caps w:val="false"/>
          <w:smallCaps w:val="false"/>
          <w:sz w:val="20"/>
        </w:rPr>
        <w:t>”) or the securities laws of any non-U.S. jurisdiction in connection with the issue and sale of the Placement ADSs and the compliance by the Company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Other than as set forth in the Registration Statement and the Prospectus, there are no legal, governmental or regulatory investigations, actions, demands, claims, suits, arbitrations, inquiries or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Securities Act to be described in the Registration Statement or the Prospectus that are not so described therein; and there are no statutes, regulations or contracts or other documents that are required under the Securities Act to be filed as exhibits to or described in the Registration Statement, as applicable, that are not so filed or described.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Except as described in the Registration Statement and the Prospectus, (i) the Company and its subsidiaries own, possess or license or can obtain on commercially reasonable terms adequate rights to all trademarks, service marks, trade names, domain names, social media accounts and identifiers, and other source identifiers, and all goodwill associated with any of the foregoing, inventions, patents, copyrights and copyrightable works, licenses, approvals, technology, know-how, trade secrets and other unpatented and/or unpatentable proprietary or confidential information, systems or procedures, and all other intellectual property and similar proprietary rights in any jurisdiction throughout the world (including all registrations and applications for registration of any of the foregoing, as applicable)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used or held for use in the conduct of their respective businesses as currently conducted; (ii) to the Company’s knowledge, neither the Company nor any of its subsidiaries infringes, misappropriates or otherwise violates, or has infringed, misappropriated or otherwise violated, any Intellectual Property Rights of any third party; (iii) to the Company’s knowledge, neither the manufacture of, nor the use or sale of, any of the product candidates described in the Registration Statement and the Prospectus will conflict with, infringe, misappropriate or otherwise violate the Intellectual Property Rights of any third party (it being understood that the representations and warranties in clauses (ii) and (iii) are made without giving effect to any exemption under applicable law to which the Company or any of its subsidiaries may be entitled (e.g., 35 U.S.C. Section 271(e)(1))); (iv) other than as described in the Registration Statement and the Prospectus, there are no rights of third parties (including any liens or encumbrances), except for customary retained and reversionary rights of third-party licensors and the rights of customers and strategic partners to use Company Intellectual Property Rights in the ordinary course, consistent with past practice, to any of the Intellectual Property Rights owned or purported to be owned by, or exclusively licensed to, the Company or any of its subsidiaries; (v) there is no pending or, to the Company’s knowledge, threatened action, suit, proceeding or claim by any third party (x) challenging the Company’s or any subsidiary of the Company’s rights in or to, or alleging a violation of any of the terms of, any of their owned or licensed Intellectual Property Rights, (y) alleging that the Company or any of its subsidiaries has infringed, misappropriated or otherwise violated any Intellectual Property Rights of any third party, or (z) challenging the validity, scope or enforceability of any Intellectual Property Rights owned by or exclusively licensed to the Company or any of its subsidiaries, and in the case of each of clauses (x), (y) and (z), the Company and its subsidiaries have not received any notice of and are otherwise unaware of any facts that would form a reasonable basis for any such action, suit, proceeding or claim; (vi) to the Company’s knowledge, there is no infringement, misappropriation, breach or default, or other violation by any third parties of any Intellectual Property Rights owned by or exclusively licensed to the Company or any of its subsidiaries; (vii) the Company and its subsidiaries have at all times taken reasonable steps in accordance with normal industry practice to maintain the confidentiality of all Intellectual Property Rights, the value of which to the Company or any of its subsidiaries is contingent upon maintaining the confidentiality thereof, and no such Intellectual Property Rights have been disclosed other than to employees, representatives and agents of the Company or any of its subsidiaries, or to third parties, each of whom is bound by a written confidentiality agreement; (viii) all founders, current and former employees, and consultants involved in the development of Intellectual Property Rights for or on behalf of the Company or any of its subsidiaries have signed written and enforceable confidentiality and invention assignment agreements with the Company or any of its applicable subsidiaries pursuant to which the Company or the applicable subsidiary either (A) has obtained ownership of and is the exclusive owner of such Intellectual Property Rights, or (B) has obtained a valid and unrestricted right to exploit such Intellectual Property Rights, sufficient for the conduct of the business as currently conducted and as proposed in the Registration Statement and the Prospectus to be conducted; except, in the case of each of (i) through (viii) above, where the outcome of which would not, individually or in the aggregate, reasonably be expected to have a Material Adverse Effect; and (ix) all Intellectual Property Rights owned by or licensed to the Company or any of its subsidiaries are subsisting and, to the Company’s knowledge, solely with respect to issued patents and trademarks, are valid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(i) The Company and its subsidiaries use and have used any and all software and other materials distributed under a license approved by the Open Source Initiative at https://opensource.org/licenses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 except as would not, in the cases of clause (i) or (ii),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The Company and its subsidiaries possess all material licenses, sub-licenses, certificates, authorizations and permits required by the appropriate federal, state or foreign regulatory authorities necessary to conduct its business, as described in the Registration Statement and the Prospectus, including, without limitation, from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the National Medical Products Administration of China (“</w:t>
      </w:r>
      <w:r>
        <w:rPr>
          <w:rFonts w:ascii="Times New Roman;Times;Serif" w:hAnsi="Times New Roman;Times;Serif"/>
          <w:b/>
          <w:i w:val="false"/>
          <w:caps w:val="false"/>
          <w:smallCaps w:val="false"/>
          <w:sz w:val="20"/>
        </w:rPr>
        <w:t>NMPA</w:t>
      </w:r>
      <w:r>
        <w:rPr>
          <w:rFonts w:ascii="Times New Roman;Times;Serif" w:hAnsi="Times New Roman;Times;Serif"/>
          <w:b w:val="false"/>
          <w:i w:val="false"/>
          <w:caps w:val="false"/>
          <w:smallCaps w:val="false"/>
          <w:sz w:val="20"/>
        </w:rPr>
        <w:t>”) and equivalent foreign regulatory authorities, except where the failure so to possess would, singly or in the aggregate, result in a Material Adverse Effect; and the Company has not received any notice of proceedings relating to the revocation or modification of any such required material license, sub-license, certificate, authorization or permit, except as described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Company and its subsidiaries have good and marketable title to all real property and personal property (other than with respect to Intellectual Property Rights, which is addressed exclusively in subsection (x) above) owned by them, to the extent applicable, in each case free and clear of all liens, encumbrances and defects except as described in the Registration Statement and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and (iii) applicable law and public policy with respect to rights to indemnity and contribution) with such exceptions as are not material and do not materially interfere with the use made and proposed to be made of such property and buildings by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and each of its subsidiaries have filed all federal, state, local and non-U.S. tax returns required to be filed through the date of this Agreement and have paid all taxes required to be paid thereon (except for cases in which the failure to file or pay would not, individually or in the aggregate, reasonably be expected to have a Material Adverse Effect, or, except as currently being contested in good faith by appropriate proceedings diligently conducted and for which adequate reserves required by IFRS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The Company is not, and will not be, either after receipt of payment for the Placement ADSs or after the application of the proceeds therefrom as described under “Use of Proceeds” in the Registration Statement or the Prospectus, an “investment company,” as such term is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described in or expressly contemplated by the Registration Statement and the Prospectus, the Company has insurance covering its property, operations, personnel and businesses, including clinical trial insurance as applicable and business interruption insurance, which insurance is in amounts and insures against such losses and risks as are generally maintained by similarly situated companies and which the Company believes are reasonably adequate to protect the Company;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Neither the Company nor any of its subsidiaries, nor to the Company’s knowledge, Affiliates, has taken, directly or indirectly, any action designed to or that could reasonably be expected to cause or result in any stabilization or manipulation of the price of the ADSs or of any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with respect to the ADSs, whether to facilitate the sale or resale of the Placement ADSs or otherwise, and has taken no action which would directly or indirectly violate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of its subsidiaries or any other person required to be described in the Registration Statement or the Prospectus which have not been described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Agents or to counsel for the Agents by the Company, its counsel, its officers and directors and the holders of any securities (debt or equity) or options to acquire any securities of the Company in connection with the offering of the Placement ADSs is true, complete, correct and compliant with FINRA rules and any letters, filings or other supplemental information provided to FINRA pursuant to FINRA rules or NASD conduct rules is true, complete and 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No Unlawful Contributions or Other Payments; Anti-Corruption and Anti-Bribery Laws</w:t>
      </w:r>
      <w:r>
        <w:rPr>
          <w:rFonts w:ascii="Times New Roman;Times;Serif" w:hAnsi="Times New Roman;Times;Serif"/>
          <w:b w:val="false"/>
          <w:i w:val="false"/>
          <w:caps w:val="false"/>
          <w:smallCaps w:val="false"/>
          <w:sz w:val="20"/>
        </w:rPr>
        <w:t>. Neither the Company nor any of its subsidiaries, nor any director, officer or employee of the Company or any of its subsidiaries nor, to the Company’s knowledge,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(iii)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(iv)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(v) made, offered, agreed, requested or taken an act in furtherance of any unlawful bribe or other unlawful benefit, including, without limitation, any rebate, payoff, influence payment, kickback or other unlawful or improper payment or benefit; or (vi) has been the subject of any actual, or, to the Company’s knowledge, suspected, threatened allegations, government or regulatory investigations, litigation, voluntary, mandatory, or directed disclosure to any government entity (including but not limited to the U.S. Department of Justice, U.S. Securities Exchange Commission, or U.K. Serious Fraud Office), or whistleblower reports in any way related to the Anti-Corruption Laws; the Company and its subsidiaries have conducted their businesses in compliance with Anti-Corruption Laws and have instituted and maintained and will continue to maintain policies and procedures designed to promote and achieve compliance with such laws and with the representations and warranties contained herein; neither the Company nor any of its subsidiaries will use, directly or indirectly, the proceeds of the offering of the Placement ADSs in furtherance of an offer, payment, promise to pay, or authorization of the payment or giving of money, or anything else of value, to any person in violation of Anti-Corruption Laws or 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in all cases where such violation, claim, request, notice, proceeding, investigation or other matter would not, individually or in the aggregate, reasonably be expected to have a Material Adverse Effect, the Company and each of its subsidiaries: (x) is in compliance with all, and has not violated any, applicable federal, state or local laws, rules, regulations, requirements, decisions, judgments, decrees and orders relating to pollution, hazardous or toxic substances, wastes, pollutants, contaminants or the protection of human health or safety, the environment or natural resources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(y) has received and is in compliance with all, and has not violated any, permits, licenses, certificates or other authorizations or approvals required of it under any Environmental Laws to conduct its business; and (z) has not received notice of any actual or potential liability of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except as described in the Registration Statement and the Prospectus,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and (y) the Company is not aware of any facts regarding compliance with Environmental Laws, or liabilities or other obligations under Environmental Laws or concerning hazardous or toxic substances or wastes, pollutants or contaminants, that individually or in the aggregate,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(i) Each employee benefit plan, within the meaning of Section 3(3)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for which Ascentage Pharma Group Inc. (“</w:t>
      </w:r>
      <w:r>
        <w:rPr>
          <w:rFonts w:ascii="Times New Roman;Times;Serif" w:hAnsi="Times New Roman;Times;Serif"/>
          <w:b/>
          <w:i w:val="false"/>
          <w:caps w:val="false"/>
          <w:smallCaps w:val="false"/>
          <w:sz w:val="20"/>
        </w:rPr>
        <w:t>Ascentage US</w:t>
      </w:r>
      <w:r>
        <w:rPr>
          <w:rFonts w:ascii="Times New Roman;Times;Serif" w:hAnsi="Times New Roman;Times;Serif"/>
          <w:b w:val="false"/>
          <w:i w:val="false"/>
          <w:caps w:val="false"/>
          <w:smallCaps w:val="false"/>
          <w:sz w:val="20"/>
        </w:rPr>
        <w:t>”) would have any liability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has been maintained in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for each Plan that is subject to the funding rules of Section 412 of the Code or Section 302 of ERISA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with respect to any Plan; (vii) each Plan that is intended to be qualified under Section 401(a) of the Code is so qualified, and nothing has occurred, to the Company’s knowledge, whether by action or by failure to act, which would cause the loss of such qualification; (viii) neither the Company nor Ascentage US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Ascentage US in the current fiscal year of the Company and Ascentage US compared to the amount of such contributions made in the Company’s and Ascentage US’ most recently completed fiscal year; or (B) a material increase in the Company’s and Ascentage US’ “accumulated post-retirement benefit obligations” (within the meaning of Accounting Standards Codification Topic 715-60) compared to the amount of such obligations in the Company’s and Ascentage US’ most recently completed fiscal year, except in each case with respect to the events or conditions set forth in (i) through (ix) hereof,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as set forth herein or otherwise disclosed in the Prospectus,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No Outstanding Loans or Other Extensions of Credit</w:t>
      </w:r>
      <w:r>
        <w:rPr>
          <w:rFonts w:ascii="Times New Roman;Times;Serif" w:hAnsi="Times New Roman;Times;Serif"/>
          <w:b w:val="false"/>
          <w:i w:val="false"/>
          <w:caps w:val="false"/>
          <w:smallCaps w:val="false"/>
          <w:sz w:val="20"/>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Each of the Company and its subsidiaries, as applicable (i) has operated and currently operates its business in compliance in all material respects with all statutes, rules and regulations applicable to the ownership, testing, development, manufacture, packaging, processing, use, distribution, storage, import, export or disposal of any of the Company’s product candidates, including, without limitation, requirements governing investigational drugs and devices under the U.S. Federal Food, Drug and Cosmetic Act and rules and regulations thereunder, regulations relating to Good Clinical Practices and Good Laboratory Practices, the U.S. Animal Welfare Act and rules and regulations thereunder, the Investigational Device Exemption regulations and the Quality System Regulation, and the Drug Administration Law of the People's Republic of China (collectively,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and (ii) has not received any FDA Form 483, written notice of adverse finding, warning letter, untitled letter or other correspondence or written notice from the FDA, the NMPA, any court or arbitrator or governmental or other regulatory authority alleging or asserting non-compliance with (A) any Applicable Laws or (B) any permits required by any such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Dividend Restrictions</w:t>
      </w:r>
      <w:r>
        <w:rPr>
          <w:rFonts w:ascii="Times New Roman;Times;Serif" w:hAnsi="Times New Roman;Times;Serif"/>
          <w:b w:val="false"/>
          <w:i w:val="false"/>
          <w:caps w:val="false"/>
          <w:smallCaps w:val="false"/>
          <w:sz w:val="20"/>
        </w:rPr>
        <w:t>. Except as disclosed in the Registration Statement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the requirements of applicable anti-money laundering laws, including, but not limited to, the Bank Secrecy Act of 1970, as amended by the USA PATRIOT ACT of 2001, the Currency and Foreign Transactions Reporting Act of 1970, as amended, the Organized and Serious Crimes Ordinance (Chapter 455 of the Laws of Hong Kong), the Anti-Money Laundering and Counter-Terrorist Financing (Financial Institutions) Ordinance (Chapter 615 of the Laws of Hong Kong) and the rules and regulations promulgated thereunder, and the applicable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Clinical Data and Regulatory Compliance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 studies, tests and preclinical and clinical trials conducted by the Company and, to the Company’s knowledge, any studies, tests and preclinical and clinical trials conducted on behalf of the Company or in which the Company has participated, were, and if still pending are, being conducted in accordance with experimental protocols, procedures and controls pursuant to accepted professional scientific standards and all applicable rules and regulations, including those of the FDA, the NMPA and comparable regulatory agencies outside of the United States, to which the Company is subject and, for studies submitted to regulatory authorities as a basis for regulatory approval and preclinical and clinical trials, current Good Clinical Practices and Good Laboratory Practices except where the failure to be so conducted would not, individually or in the aggregate, reasonably be expected to have a Material Adverse Effect; the descriptions of the results of such studies, tests and trials contained in the Registration Statement and the Prospectus are, to the Company’s knowledge, accurate and complete in all material respects and fairly present the data derived from such studies, tests and trials; the Company is not aware of any studies, tests or trials, the results of which the Company believes reasonably call into question the study, test, or trial results described or referred to in the Registration Statement and the Prospectus when viewed in the context in which such results are described and the clinical state of development; and, except to the extent disclosed in the Registration Statement or the Prospectus, the Company has not received any notices or correspondence from the FDA or any other comparable federal, state, local or foreign governmental or regulatory authority requiring the termination or suspension of any studies, tests or preclinical or clinical trials conducted by or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val="false"/>
          <w:caps w:val="false"/>
          <w:smallCaps w:val="false"/>
          <w:sz w:val="20"/>
          <w:u w:val="single"/>
        </w:rPr>
        <w:t>Manufacturing Compliance</w:t>
      </w:r>
      <w:r>
        <w:rPr>
          <w:rFonts w:ascii="Times New Roman;Times;Serif" w:hAnsi="Times New Roman;Times;Serif"/>
          <w:b w:val="false"/>
          <w:i w:val="false"/>
          <w:caps w:val="false"/>
          <w:smallCaps w:val="false"/>
          <w:sz w:val="20"/>
        </w:rPr>
        <w:t>. The manufacturing facilities and operations of Company’s suppliers and manufacturers are not, to the Company’s knowledge, operated in violation of applicable statutes, rules, regulations and policies of the FDA and comparable regulatory agencies outside of the United States to which the Company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 (ii) located, organized, or resident in a country or territory that is the subject or target of Sanctions including, without limitation, Crimea, Cuba, Iran, North Korea, the Crimea Region and the non-government controlled areas of the Zaporizhzhia and Kherson Regions of Ukraine, the so-called Donetsk People’s Republic, the so-called Luhansk People’s Republic and any other Covered Region of Ukraine identified pursuant to Executive Order 14065, Russia and Belarus (a “</w:t>
      </w:r>
      <w:r>
        <w:rPr>
          <w:rFonts w:ascii="Times New Roman;Times;Serif" w:hAnsi="Times New Roman;Times;Serif"/>
          <w:b/>
          <w:i w:val="false"/>
          <w:caps w:val="false"/>
          <w:smallCaps w:val="false"/>
          <w:sz w:val="20"/>
        </w:rPr>
        <w:t>Sanctioned Jurisdiction</w:t>
      </w:r>
      <w:r>
        <w:rPr>
          <w:rFonts w:ascii="Times New Roman;Times;Serif" w:hAnsi="Times New Roman;Times;Serif"/>
          <w:b w:val="false"/>
          <w:i w:val="false"/>
          <w:caps w:val="false"/>
          <w:smallCaps w:val="false"/>
          <w:sz w:val="20"/>
        </w:rPr>
        <w:t>”) in each case in violation of Sanctions, and the Company will not directly or indirectly use the proceeds of the offering of the Placement ADSs hereunder, or lend, contribute or otherwise make available such proceeds to any subsidiary, joint venture partner or other person or entity (x) to fund or facilitate any activities of or business with any person, or in any country or territory, that, at the time of such funding, is the subject or the target of Sanctions unless otherwise authorized, or (y) in any other manner that will result in a violation by any person (including any person participating in the transaction, whether as underwriter, advisor, investor or otherwise) of Sanctions; Since April 24, 2019, neither the  Company nor any of its subsidiaries, nor, to the knowledge of the Company, any director, officer or employee of the Company or any of its subsidiaries, is engaged in, or has engaged in, any dealings or transactions with or involving any individual or entity that was or is, as applicable, at the time of such dealing or transaction, the subject or target of Sanctions or with any Sanctioned Jurisdiction, unless otherwise authorized; the Company and its subsidiaries have instituted, and maintain, policies and procedures reasonably designed to promote and achieve continued compliance with Sanctions. This section shall only be sought and given for the benefit of the Agents if and to the extent that doing so would be permissible for the Agents pursuant to (i) the Council Regulation (EC) No. 2271/96 of 22 November 1996 (the “</w:t>
      </w:r>
      <w:r>
        <w:rPr>
          <w:rFonts w:ascii="Times New Roman;Times;Serif" w:hAnsi="Times New Roman;Times;Serif"/>
          <w:b/>
          <w:i w:val="false"/>
          <w:caps w:val="false"/>
          <w:smallCaps w:val="false"/>
          <w:sz w:val="20"/>
          <w:u w:val="single"/>
        </w:rPr>
        <w:t>EU Blocking Regulation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or any other law or regulation implementing the EU Blocking Regulation in any member state of the European Union; (ii) the EU Blocking Regulation as it forms part of domestic law by virtue of the European Union (Withdrawal) Act 2018; or (iii section 7 of the German Foreign Trade and Payments Ordinance (Außenwirtschaftsverordnung) (in connection with section 4 paragraph 1 no. 3 of the German Foreign Trade and Payments Act (Außenwirtschaftsgesetz))).</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To the extent applicable to the Company, there is and has been no failure on the part of the Company or, to the Company’s knowledge, any of the Company’s directors or officers, in their capacities as such, to comply with any provision of the Sarbanes-Oxley Act,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val="false"/>
          <w:caps w:val="false"/>
          <w:smallCaps w:val="false"/>
          <w:sz w:val="20"/>
          <w:u w:val="single"/>
        </w:rPr>
        <w:t>Stamp Taxes</w:t>
      </w:r>
      <w:r>
        <w:rPr>
          <w:rFonts w:ascii="Times New Roman;Times;Serif" w:hAnsi="Times New Roman;Times;Serif"/>
          <w:b w:val="false"/>
          <w:i w:val="false"/>
          <w:caps w:val="false"/>
          <w:smallCaps w:val="false"/>
          <w:sz w:val="20"/>
        </w:rPr>
        <w:t>. Except for any net income, capital gains, franchise taxes imposed on the Agents by the People’s Republic of China (“</w:t>
      </w:r>
      <w:r>
        <w:rPr>
          <w:rFonts w:ascii="Times New Roman;Times;Serif" w:hAnsi="Times New Roman;Times;Serif"/>
          <w:b/>
          <w:i/>
          <w:caps w:val="false"/>
          <w:smallCaps w:val="false"/>
          <w:sz w:val="20"/>
        </w:rPr>
        <w:t>PRC</w:t>
      </w:r>
      <w:r>
        <w:rPr>
          <w:rFonts w:ascii="Times New Roman;Times;Serif" w:hAnsi="Times New Roman;Times;Serif"/>
          <w:b w:val="false"/>
          <w:i w:val="false"/>
          <w:caps w:val="false"/>
          <w:smallCaps w:val="false"/>
          <w:sz w:val="20"/>
        </w:rPr>
        <w:t>”), Hong Kong Special Administrative Regions (“</w:t>
      </w:r>
      <w:r>
        <w:rPr>
          <w:rFonts w:ascii="Times New Roman;Times;Serif" w:hAnsi="Times New Roman;Times;Serif"/>
          <w:b/>
          <w:i/>
          <w:caps w:val="false"/>
          <w:smallCaps w:val="false"/>
          <w:sz w:val="20"/>
        </w:rPr>
        <w:t>Hong Kong SAR</w:t>
      </w:r>
      <w:r>
        <w:rPr>
          <w:rFonts w:ascii="Times New Roman;Times;Serif" w:hAnsi="Times New Roman;Times;Serif"/>
          <w:b w:val="false"/>
          <w:i w:val="false"/>
          <w:caps w:val="false"/>
          <w:smallCaps w:val="false"/>
          <w:sz w:val="20"/>
        </w:rPr>
        <w:t>”) and the United States or any political subdivision or taxing authority thereof or therein as a result of any present or former connection (other than any connection resulting from the transactions contemplated by this Agreement and the Deposit Agreement) between the Agents and the jurisdiction imposing such tax, no stamp duties, issuance, transfer or other taxes or duties are payable by or on behalf of the Agents in the PRC, Hong Kong SAR, the Cayman Islands, the United States or any political subdivision or taxing authority thereof in connection with (A) the execution, delivery and performance of this Agreement and the Deposit Agreement, (B) the issuance and delivery of the Placement ADSs in the manner contemplated by this Agreement and the Prospectus, (C) the deposit of Placement ADSs with the Depositary, (D) the issuance of the Placement ADSs by the Depositary, (E) the sale and delivery to or by the Agents of the Placement ADSs as contemplated herein and in the Prospectus, or (F) the execution, delivery, performance and admission in court proceedings of this Agreement and the Deposit Agreement and the consummation of the transactions contemplated hereby and thereby (provided that no representation is made hereby with respect to any stamp duty (if any) payable in Hong Kong SAR in connection with any transfer of any shares or other securities that is chargeable to stamp duty under the laws of Hong Kong SAR, and any such stamp duty (if any) shall be for the account of the person(s) liable therefor under such laws); provided that this Agreement and the Deposit Agreement may be subject to Cayman Islands stamp duty if they are executed in or brought into the Cayman Islands and transfers of stock or rights thereto made within New York state may be subject to New York state stock transfer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stated in the Registration Statement and the Prospectus, and as would not, individually or in the aggregate, reasonably be expected to have a Material Adverse Effect, (i) the Company and its subsidiaries’ respective information technology assets and equipment, computers, systems, networks, hardware, applications, technology, data and databases (including Personal Data (as defined below) and the data and information of their respective customers, employees, suppliers, vendors and any third party data) used in connection with the operation of the Company’s and its subsidiaries’ respective businesses and in the possession or otherwise in the control of the Company or any of its subsidiaries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to the Company’s knowledge, of all Trojan horses, time bombs, malware and other malicious code; (ii) the Company and each of its subsidiaries have taken reasonable technical and organizational measures to protect the IT Systems and Data and, without limiting the foregoing, the Company and its subsidiaries have used commercially reasonable efforts to establish and maintain, and have established, maintained, implemented and complied with, reasonable information technology, information security, cybersecurity and data protection controls, policies and procedures, including oversight, access controls, encryption, technological and physical safeguards and business continuity/disaster recovery and security plans, which controls, policies and procedures are designed to protect against and prevent security breaches, unauthorized destruction, loss, distribution, use, access, disablement, misappropriation or modification, or other compromise or misuse of any IT Systems and Data (“</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and (iii) to the Company’s knowledge, there has been no such Breach and the Company and its subsidiaries have not been notified of, and have no knowledge of any event or condition that would reasonably be expected to result in, any such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(vv)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Except as would not, individually or in the aggregate, reasonably be expected to have a Material Adverse Effect, (i) the Company and each of its subsidiaries have complied and are presently in compliance with all of their internal privacy policies, privacy- and data protection-related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personal, personally identifiable, household (in the case of household data, to the extent it is “Personal Information” under the California Consumer Privacy Act, as modified by the California Privacy Rights Act), or sensitive, confidential or regulated data or information (collectively, “</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and such data and information,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(ii) the Company and its subsidiaries have not received any written notification of or written complaint regarding and are unaware of any other facts that, individually or in the aggregate, would reasonably indicate non-compliance with any Data Security Obligation by the Company or any of its subsidiaries; and (iii) there is no action, suit or proceeding by or before any court or governmental agency, authority or body pending or, to the Company’s knowledge, threatened in writing, alleging non-compliance with any Data Security Obligation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(ww) </w:t>
      </w:r>
      <w:r>
        <w:rPr>
          <w:rFonts w:ascii="Times New Roman;Times;Serif" w:hAnsi="Times New Roman;Times;Serif"/>
          <w:b w:val="false"/>
          <w:i w:val="false"/>
          <w:caps w:val="false"/>
          <w:smallCaps w:val="false"/>
          <w:sz w:val="20"/>
          <w:u w:val="single"/>
        </w:rPr>
        <w:t>Other Underwriting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Except as described in the Registration Statement and the Prospectus, the Company and its subsidiaries are, and have been, in compliance with all Health Care Laws in all material respects and to the extent applicable to the Company’s current business.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(21 U.S.C. Section 301 et seq.), the Public Health Service Act (42 U.S.C. Section 201 et seq.), and the regulations 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Section 1320d et seq.),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including the Drug Administration Law of the People's Republic of China.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(yy) </w:t>
      </w:r>
      <w:r>
        <w:rPr>
          <w:rFonts w:ascii="Times New Roman;Times;Serif" w:hAnsi="Times New Roman;Times;Serif"/>
          <w:b w:val="false"/>
          <w:i w:val="false"/>
          <w:caps w:val="false"/>
          <w:smallCaps w:val="false"/>
          <w:sz w:val="20"/>
          <w:u w:val="single"/>
        </w:rPr>
        <w:t>Authority to Enter into the Sales Agreement</w:t>
      </w:r>
      <w:r>
        <w:rPr>
          <w:rFonts w:ascii="Times New Roman;Times;Serif" w:hAnsi="Times New Roman;Times;Serif"/>
          <w:b w:val="false"/>
          <w:i w:val="false"/>
          <w:caps w:val="false"/>
          <w:smallCaps w:val="false"/>
          <w:sz w:val="20"/>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(zz) </w:t>
      </w:r>
      <w:r>
        <w:rPr>
          <w:rFonts w:ascii="Times New Roman;Times;Serif" w:hAnsi="Times New Roman;Times;Serif"/>
          <w:b w:val="false"/>
          <w:i w:val="false"/>
          <w:caps w:val="false"/>
          <w:smallCaps w:val="false"/>
          <w:sz w:val="20"/>
          <w:u w:val="single"/>
        </w:rPr>
        <w:t>No Violation of Organizational Documents, Laws or Existing Instruments</w:t>
      </w:r>
      <w:r>
        <w:rPr>
          <w:rFonts w:ascii="Times New Roman;Times;Serif" w:hAnsi="Times New Roman;Times;Serif"/>
          <w:b w:val="false"/>
          <w:i w:val="false"/>
          <w:caps w:val="false"/>
          <w:smallCaps w:val="false"/>
          <w:sz w:val="20"/>
        </w:rPr>
        <w:t>. Neither the Company nor any of its subsidiaries is (i) in violation of its memorandum and articles of association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(aaa) </w:t>
      </w:r>
      <w:r>
        <w:rPr>
          <w:rFonts w:ascii="Times New Roman;Times;Serif" w:hAnsi="Times New Roman;Times;Serif"/>
          <w:b w:val="false"/>
          <w:i w:val="false"/>
          <w:caps w:val="false"/>
          <w:smallCaps w:val="false"/>
          <w:sz w:val="20"/>
          <w:u w:val="single"/>
        </w:rPr>
        <w:t>Accuracy of Certain Disclosure</w:t>
      </w:r>
      <w:r>
        <w:rPr>
          <w:rFonts w:ascii="Times New Roman;Times;Serif" w:hAnsi="Times New Roman;Times;Serif"/>
          <w:b w:val="false"/>
          <w:i w:val="false"/>
          <w:caps w:val="false"/>
          <w:smallCaps w:val="false"/>
          <w:sz w:val="20"/>
        </w:rPr>
        <w:t>. The statements set forth in the Registration Statement and the Prospectus under the captions “Description of American Depositary Shares” and “Description of Share Capital,” insofar as they purport to constitute a summary of the terms of the ADSs, the Ordinary Shares and the Deposit Agreement, are accurate, complete and fair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(bbb) </w:t>
      </w:r>
      <w:r>
        <w:rPr>
          <w:rFonts w:ascii="Times New Roman;Times;Serif" w:hAnsi="Times New Roman;Times;Serif"/>
          <w:b w:val="false"/>
          <w:i w:val="false"/>
          <w:caps w:val="false"/>
          <w:smallCaps w:val="false"/>
          <w:sz w:val="20"/>
          <w:u w:val="single"/>
        </w:rPr>
        <w:t>No Material Labor Disturbances</w:t>
      </w:r>
      <w:r>
        <w:rPr>
          <w:rFonts w:ascii="Times New Roman;Times;Serif" w:hAnsi="Times New Roman;Times;Serif"/>
          <w:b w:val="false"/>
          <w:i w:val="false"/>
          <w:caps w:val="false"/>
          <w:smallCaps w:val="false"/>
          <w:sz w:val="20"/>
        </w:rPr>
        <w:t>. No material labor disturbance by or dispute with employees of the Company or any of its subsidiaries exists or, to the Company’s knowledge, is contemplated or threatened, and the Company is not aware of any existing or imminent labor disturbance by, or dispute with, the employees of any of its principal suppliers or contractors, except as would not, individually or in the aggregate, reasonably be expected to have a Material Adverse Effect. The Company has not received any notice of cancellation or termination with respect to any collective bargaining agreement material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(ccc) </w:t>
      </w:r>
      <w:r>
        <w:rPr>
          <w:rFonts w:ascii="Times New Roman;Times;Serif" w:hAnsi="Times New Roman;Times;Serif"/>
          <w:b w:val="false"/>
          <w:i w:val="false"/>
          <w:caps w:val="false"/>
          <w:smallCaps w:val="false"/>
          <w:sz w:val="20"/>
          <w:u w:val="single"/>
        </w:rPr>
        <w:t>No Ratings</w:t>
      </w:r>
      <w:r>
        <w:rPr>
          <w:rFonts w:ascii="Times New Roman;Times;Serif" w:hAnsi="Times New Roman;Times;Serif"/>
          <w:b w:val="false"/>
          <w:i w:val="false"/>
          <w:caps w:val="false"/>
          <w:smallCaps w:val="false"/>
          <w:sz w:val="20"/>
        </w:rPr>
        <w:t>. There are no debt securities or preferred stock issued or guaranteed by the Company nor any of its subsidiaries that are rated by a “nationally recognized statistical rating organization,” as such term is defined in Section 3(a)(62)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(ddd)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included in the Registration Statement or the Prospectus has been made or reaffirmed without a reasonable basis or has been disclosed other than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(eee) </w:t>
      </w:r>
      <w:r>
        <w:rPr>
          <w:rFonts w:ascii="Times New Roman;Times;Serif" w:hAnsi="Times New Roman;Times;Serif"/>
          <w:b w:val="false"/>
          <w:i w:val="false"/>
          <w:caps w:val="false"/>
          <w:smallCaps w:val="false"/>
          <w:sz w:val="20"/>
          <w:u w:val="single"/>
        </w:rPr>
        <w:t>Valid Choice of Law</w:t>
      </w:r>
      <w:r>
        <w:rPr>
          <w:rFonts w:ascii="Times New Roman;Times;Serif" w:hAnsi="Times New Roman;Times;Serif"/>
          <w:b w:val="false"/>
          <w:i w:val="false"/>
          <w:caps w:val="false"/>
          <w:smallCaps w:val="false"/>
          <w:sz w:val="20"/>
        </w:rPr>
        <w:t>. The choice of laws of the State of New York as the governing law of this Agreement and the Deposit Agreement is a valid choice of law under the laws of Cayman Islands, the PRC and the Hong Kong SAR and will be observed and given effect to by the courts of Cayman Islands, the PRC and the Hong Kong SAR, subject to the restrictions described under the caption “Enforceability of Civil Liabilities” in the Registration Statement and the Prospectus and subject to applicable mandatory laws of the Hong Kong SAR, considerations of public policy and bankruptcy, insolvency, liquidation, reorganization, moratorium and similar laws of general applicability relating to or affecting creditors’ rights and general principles of equity. The Company has the power to submit, and pursuant to Section ‎8(g) of this Agreement and Section 20(a) of the Deposit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(fff) </w:t>
      </w:r>
      <w:r>
        <w:rPr>
          <w:rFonts w:ascii="Times New Roman;Times;Serif" w:hAnsi="Times New Roman;Times;Serif"/>
          <w:b w:val="false"/>
          <w:i w:val="false"/>
          <w:caps w:val="false"/>
          <w:smallCaps w:val="false"/>
          <w:sz w:val="20"/>
          <w:u w:val="single"/>
        </w:rPr>
        <w:t>CSRC and SAFE compliance</w:t>
      </w:r>
      <w:r>
        <w:rPr>
          <w:rFonts w:ascii="Times New Roman;Times;Serif" w:hAnsi="Times New Roman;Times;Serif"/>
          <w:b w:val="false"/>
          <w:i w:val="false"/>
          <w:caps w:val="false"/>
          <w:smallCaps w:val="false"/>
          <w:sz w:val="20"/>
        </w:rPr>
        <w:t xml:space="preserve">. Each of the Company and the Subsidiaries has taken all reasonable steps to inform each of its shareholders, directors and officers that is, or is directly or indirectly owned or controlled by, a PRC resident or citizen to comply with any applicable rules and regulations of the relevant PRC government agencies (including but not limited to the Ministry of Commerce, the National Development and Reform Commission, the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xml:space="preserve"> and the State Administration of Foreign Exchange (the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relating to overseas investment by PRC residents and citizens (the “</w:t>
      </w:r>
      <w:r>
        <w:rPr>
          <w:rFonts w:ascii="Times New Roman;Times;Serif" w:hAnsi="Times New Roman;Times;Serif"/>
          <w:b/>
          <w:i w:val="false"/>
          <w:caps w:val="false"/>
          <w:smallCaps w:val="false"/>
          <w:sz w:val="20"/>
        </w:rPr>
        <w:t>PRC Overseas Investment and Listing Regulations</w:t>
      </w:r>
      <w:r>
        <w:rPr>
          <w:rFonts w:ascii="Times New Roman;Times;Serif" w:hAnsi="Times New Roman;Times;Serif"/>
          <w:b w:val="false"/>
          <w:i w:val="false"/>
          <w:caps w:val="false"/>
          <w:smallCaps w:val="false"/>
          <w:sz w:val="20"/>
        </w:rPr>
        <w:t>”), including, without limitation, requesting each such Person that is, or is directly or indirectly owned or controlled by, a PRC resident or citizen, to complete any registration and other procedures required under applicable PRC Overseas Investment and Listing Regulations (including any applicable rules and regulations of the SAFE), except where such non-compliance would not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(ggg) </w:t>
      </w:r>
      <w:r>
        <w:rPr>
          <w:rFonts w:ascii="Times New Roman;Times;Serif" w:hAnsi="Times New Roman;Times;Serif"/>
          <w:b w:val="false"/>
          <w:i w:val="false"/>
          <w:caps w:val="false"/>
          <w:smallCaps w:val="false"/>
          <w:sz w:val="20"/>
          <w:u w:val="single"/>
        </w:rPr>
        <w:t>PRC Mergers and Acquisitions Rules Compliance</w:t>
      </w:r>
      <w:r>
        <w:rPr>
          <w:rFonts w:ascii="Times New Roman;Times;Serif" w:hAnsi="Times New Roman;Times;Serif"/>
          <w:b w:val="false"/>
          <w:i w:val="false"/>
          <w:caps w:val="false"/>
          <w:smallCaps w:val="false"/>
          <w:sz w:val="20"/>
        </w:rPr>
        <w:t>.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Times;Serif" w:hAnsi="Times New Roman;Times;Serif"/>
          <w:b/>
          <w:i w:val="false"/>
          <w:caps w:val="false"/>
          <w:smallCaps w:val="false"/>
          <w:sz w:val="20"/>
        </w:rPr>
        <w:t>PRC Mergers and Acquisitions Rules</w:t>
      </w:r>
      <w:r>
        <w:rPr>
          <w:rFonts w:ascii="Times New Roman;Times;Serif" w:hAnsi="Times New Roman;Times;Serif"/>
          <w:b w:val="false"/>
          <w:i w:val="false"/>
          <w:caps w:val="false"/>
          <w:smallCaps w:val="false"/>
          <w:sz w:val="20"/>
        </w:rPr>
        <w:t>”) jointly promulgated by the Ministry of Commerce, the State Assets Supervision and Administration Commission, the State Tax Administration, the State Administration of Industry and Commerce, the CSRC and the SAFE on August 8, 2006, and as amended by the Ministry of Commerce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Securities, the listing and trading of the Placement ADSs on the Nasdaq and the consummation of the transactions contemplated by this Agreement and the Deposit Agreement (i) are not and will not be materially and adversely affected by the PRC Mergers and Acquisitions Rules and (ii) do not require the prior approval of the CSRC.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(hhh) </w:t>
      </w:r>
      <w:r>
        <w:rPr>
          <w:rFonts w:ascii="Times New Roman;Times;Serif" w:hAnsi="Times New Roman;Times;Serif"/>
          <w:b w:val="false"/>
          <w:i w:val="false"/>
          <w:caps w:val="false"/>
          <w:smallCaps w:val="false"/>
          <w:sz w:val="20"/>
          <w:u w:val="single"/>
        </w:rPr>
        <w:t>Not an Actively-Traded Security</w:t>
      </w:r>
      <w:r>
        <w:rPr>
          <w:rFonts w:ascii="Times New Roman;Times;Serif" w:hAnsi="Times New Roman;Times;Serif"/>
          <w:b w:val="false"/>
          <w:i w:val="false"/>
          <w:caps w:val="false"/>
          <w:smallCaps w:val="false"/>
          <w:sz w:val="20"/>
        </w:rPr>
        <w:t>. The Company’s ADS is not an “actively-traded security” exempted from the requirements of Rule 101 of Regulation M under the 1934 Act by subsection (c)(1) of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Prior CSRC Submission</w:t>
      </w:r>
      <w:r>
        <w:rPr>
          <w:rFonts w:ascii="Times New Roman;Times;Serif" w:hAnsi="Times New Roman;Times;Serif"/>
          <w:b w:val="false"/>
          <w:i w:val="false"/>
          <w:caps w:val="false"/>
          <w:smallCaps w:val="false"/>
          <w:sz w:val="20"/>
        </w:rPr>
        <w:t>. The Company has not submitted any undertakings in connection with the sales of Placement ADSs to CSRC or other PRC regulators that the Agents are not aware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(jjj) </w:t>
      </w: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The Company is not engaged in any “covered activity,” as defined in 31 C.F.R. Part 850, Provisions Pertaining to U.S. Investments in Certain National Security Technologies and Products in Countries of Concern (“</w:t>
      </w:r>
      <w:r>
        <w:rPr>
          <w:rFonts w:ascii="Times New Roman;Times;Serif" w:hAnsi="Times New Roman;Times;Serif"/>
          <w:b/>
          <w:i w:val="false"/>
          <w:caps w:val="false"/>
          <w:smallCaps w:val="false"/>
          <w:sz w:val="20"/>
        </w:rPr>
        <w:t>Outbound Investment Security Program</w:t>
      </w:r>
      <w:r>
        <w:rPr>
          <w:rFonts w:ascii="Times New Roman;Times;Serif" w:hAnsi="Times New Roman;Times;Serif"/>
          <w:b w:val="false"/>
          <w:i w:val="false"/>
          <w:caps w:val="false"/>
          <w:smallCaps w:val="false"/>
          <w:sz w:val="20"/>
        </w:rPr>
        <w:t>”). Neither the Company nor any of its subsidiaries currently holds or has plans to hold, directly or indirectly, a board seat on, a voting or equity interest in, or any contractual power to direct or cause the direction of the management or policies of a person of a country of concern (as identified in the Outbound Investment Security Program) that engages in one or more “covered activities.” Notwithstanding the foregoing, the sale of Placement ADSs under this Agreement qualifies for the exemption applicable to investments in publicly traded securities under the Outbound Investment Security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or any of its subsidiaries and delivered to the Agents or counsel for the Agents in connection with an issuance of Placement ADSs shall be deemed a representation and warranty by the Company to the Agents as to the matters covered thereby on the date of such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that the Agents and, for purposes of the opinions to be delivered pursuant to </w:t>
      </w:r>
      <w:r>
        <w:rPr>
          <w:rFonts w:ascii="Times New Roman;Times;Serif" w:hAnsi="Times New Roman;Times;Serif"/>
          <w:b w:val="false"/>
          <w:i w:val="false"/>
          <w:caps w:val="false"/>
          <w:smallCaps w:val="false"/>
          <w:sz w:val="20"/>
          <w:u w:val="single"/>
        </w:rPr>
        <w:t>Section 4(q)</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4(r)</w:t>
      </w:r>
      <w:r>
        <w:rPr>
          <w:rFonts w:ascii="Times New Roman;Times;Serif" w:hAnsi="Times New Roman;Times;Serif"/>
          <w:b w:val="false"/>
          <w:i w:val="false"/>
          <w:caps w:val="false"/>
          <w:smallCaps w:val="false"/>
          <w:sz w:val="20"/>
        </w:rPr>
        <w:t xml:space="preserve"> hereof, counsel to the Company and counsel to the Agents, will rely upon the accuracy and truthfulness of the foregoing representations and hereby consents to such reliance.</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ISSUANCE AND SALE OF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Sale of Securities</w:t>
      </w:r>
      <w:r>
        <w:rPr>
          <w:rFonts w:ascii="Times New Roman;Times;Serif" w:hAnsi="Times New Roman;Times;Serif"/>
          <w:b w:val="false"/>
          <w:i w:val="false"/>
          <w:caps w:val="false"/>
          <w:smallCaps w:val="false"/>
          <w:sz w:val="20"/>
        </w:rPr>
        <w:t>. Subject to the terms and conditions set forth herein, the Company agrees to issue and sell Placement ADSs through the applicable Agent acting as sales agent, or directly to the applicable Agent acting as principal, from time to time. Sales of the Placement ADSs, if any, through an Agent acting as sales agent or directly to an Agent acting as principal will be made by means of ordinary brokers’ transactions on the Principal Market or otherwise at market prices prevailing at the time of sale, at prices related to prevailing market prices or at negotiated prices, with an aggregate Sales Price of up to the Maximum Program Amount, based on and in accordance with Issuance Notices as the Company may deliver, during the Agency Period. The Company acknowledges and agrees that sales of Placement ADSs under this Agreement may be made through affiliates of the Agents, and that the Agents may otherwise fulfill their respective obligations pursuant to this Agreement to or through an affiliated broker-dealer. On any Trading Day, the Company may sell Placement ADSs through only one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 of Issuances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xml:space="preserve">. Upon the terms and subject to the conditions set forth herein, on any Trading Day during the Agency Period on which the conditions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xml:space="preserve"> shall have been satisfied, the Company may exercise its right to request an issuance of Placement ADSs by delivering to the applicable Agent an Issuance Notice with at least six business day’s prior written notice, or such other period as may be agreed among the Company and the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in no event may the Company deliver an Issuance Notice to the extent that (I) the sum of (x) the aggregate Sales Price of the requested Issuance Amount, plus (y) the aggregate Sales Price of all Placement ADSs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applicable Agent may modify the list of such persons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Agent Efforts</w:t>
      </w:r>
      <w:r>
        <w:rPr>
          <w:rFonts w:ascii="Times New Roman;Times;Serif" w:hAnsi="Times New Roman;Times;Serif"/>
          <w:b w:val="false"/>
          <w:i w:val="false"/>
          <w:caps w:val="false"/>
          <w:smallCaps w:val="false"/>
          <w:sz w:val="20"/>
        </w:rPr>
        <w:t>. Upon the terms and subject to the conditions set forth in this Agreement, upon the receipt of an Issuance Notice, the applicable Agent will use its commercially reasonable efforts consistent with its normal sales and trading practices to place the Placement ADSs with respect to which such Agent has agreed to act as sales agent, subject to, and in accordance with the information specified in, the Issuance Notice, unless the sale of the Placement ADSs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Method of Offer and Sale</w:t>
      </w:r>
      <w:r>
        <w:rPr>
          <w:rFonts w:ascii="Times New Roman;Times;Serif" w:hAnsi="Times New Roman;Times;Serif"/>
          <w:b w:val="false"/>
          <w:i w:val="false"/>
          <w:caps w:val="false"/>
          <w:smallCaps w:val="false"/>
          <w:sz w:val="20"/>
        </w:rPr>
        <w:t>. The Placement ADSs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of the ADSs. Nothing in this Agreement shall be deemed to require either party to agree to the method of offer and sale specified in the preceding sentence, and (except as specified in clauses (A) and (B) above) the method of placement of any Placement ADSs by the applicable Agent shall be at such Agent’s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Confirmation to the Company</w:t>
      </w:r>
      <w:r>
        <w:rPr>
          <w:rFonts w:ascii="Times New Roman;Times;Serif" w:hAnsi="Times New Roman;Times;Serif"/>
          <w:b w:val="false"/>
          <w:i w:val="false"/>
          <w:caps w:val="false"/>
          <w:smallCaps w:val="false"/>
          <w:sz w:val="20"/>
        </w:rPr>
        <w:t>. If acting as sales agent hereunder, the applicable Agent will provide written confirmation to the Company no later than the close of trading on the Principal Market on each Trading Day on which it has placed Placement ADSs hereunder setting forth the number of Placement ADSs sold on such Trading Day, the corresponding Sales Price and the Issuance Price payable to the Company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xml:space="preserve">. Each issuance of Placement ADSs will be settled on the applicable Settlement Date for such issuance of Placement ADSs and, subject to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on or before each Settlement Date, the Company will, or will cause the Depositary to, issue the Placement ADSs being sold by crediting the applicable Agent or its designee’s account at The Depository Trust Company through its Deposit/Withdrawal At Custodian (DWAC) System, or by such other means of delivery as may be mutually agreed upon by the parties hereto and, upon receipt of such Placement ADSs, which in all cases shall be duly authorized, freely tradable, transferable, registered ADSs in good deliverable form, the applicable Agent will deliver, by wire transfer of immediately available funds, the related Issuance Price in same day funds delivered to an account designated by the Company prior to the Settlement Date. The Company may sell Placement ADSs to the applicable Agent as principal at a price agreed upon at each relevant time Placement ADSs are sold pursuant to this Agreement (each, a “</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Suspension or Termination of Sales</w:t>
      </w:r>
      <w:r>
        <w:rPr>
          <w:rFonts w:ascii="Times New Roman;Times;Serif" w:hAnsi="Times New Roman;Times;Serif"/>
          <w:b w:val="false"/>
          <w:i w:val="false"/>
          <w:caps w:val="false"/>
          <w:smallCaps w:val="false"/>
          <w:sz w:val="20"/>
        </w:rPr>
        <w:t xml:space="preserve">. Consistent with standard market settlement practices, the Company or the applicable Agent may, upon notice to the other party hereto in writing or by telephone (confirmed immediately by verifiable email), suspend any sale of Placement ADSs, and the period set forth in an Issuance Notice shall immediately terminate;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such suspension and termination shall not affect or impair either party’s obligations with respect to any Placement ADSs placed or sold hereunder prior to the receipt of such notice; (B) if the Company suspends or terminates any sale of Placement ADSs after the applicable Agent confirms such sale to the Company, the Company shall still be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Placement ADSs; and (C) if the Company or the Depositary (under the Deposit Agreement) defaults in its obligation to deliver Placement ADSs on a Settlement Date, the Company agrees that it will (i) hold the applicable Agent harmless against any loss, claim, damage or expense (including, without limitation, penalties, interest and reasonable legal fees and expenses), as incurred, arising out of or in connection with such default by the Company or the Depositary and (ii) pay such Agent any commission to which it would otherwise be entitled absent such default. The parties hereto acknowledge and agree that, in performing its obligations under this Agreement, the Agents may borrow Placement ADSs from stock lenders in the event that the Company has not delivered Placement ADSs to settle sales as required by subsection (v) above, and may use the Placement ADSs to settle or close out such borrowings. The Company agrees that no such notice shall be effective against an Agent unless it is made to the persons identified in writing by such Agent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No Guarantee of Placement, Etc.</w:t>
      </w:r>
      <w:r>
        <w:rPr>
          <w:rFonts w:ascii="Times New Roman;Times;Serif" w:hAnsi="Times New Roman;Times;Serif"/>
          <w:b w:val="false"/>
          <w:i w:val="false"/>
          <w:caps w:val="false"/>
          <w:smallCaps w:val="false"/>
          <w:sz w:val="20"/>
        </w:rPr>
        <w:t xml:space="preserve"> The Company acknowledges and agrees that (A) there can be no assurance that any Agent will be successful in placing Placement ADSs; (B) no Agent will incur any liability or obligation to the Company or any other Person if it does not sell Placement ADSs; and (C) no Agent shall be under any obligation to purchase Placement ADSs on a principal basis pursuant to this Agreement, except as otherwise specifically agreed by such Agent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xml:space="preserve"> Notwithstanding any other provision of this Agreement, the Company and the Agents agree that the Company shall not deliver any Issuance Notice to the applicable Agent, and no Agent shall be obligated to place any Placement ADSs, (i) during the period commencing on the date of this Agreement and ending immediately prior to the filing with, or furnishing to, the SEC of a Form 6-K containing the Company's financial results for the six months ended June 30, 2026, (ii) during any period in which the Company is, or could be deemed to be, in possession of material non-public information or (iii) at any time when the Company has imposed a trading blackout.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xml:space="preserve">. As compensation for services rendered, the Company shall pay to the applicable Agent, on the applicable Settlement Date, the Selling Commission for the applicable Issuance Amount (including with respect to any suspended or terminated sale pursuant to </w:t>
      </w:r>
      <w:r>
        <w:rPr>
          <w:rFonts w:ascii="Times New Roman;Times;Serif" w:hAnsi="Times New Roman;Times;Serif"/>
          <w:b w:val="false"/>
          <w:i w:val="false"/>
          <w:caps w:val="false"/>
          <w:smallCaps w:val="false"/>
          <w:sz w:val="20"/>
          <w:u w:val="single"/>
        </w:rPr>
        <w:t>Section 3(b)(vi))</w:t>
      </w:r>
      <w:r>
        <w:rPr>
          <w:rFonts w:ascii="Times New Roman;Times;Serif" w:hAnsi="Times New Roman;Times;Serif"/>
          <w:b w:val="false"/>
          <w:i w:val="false"/>
          <w:caps w:val="false"/>
          <w:smallCaps w:val="false"/>
          <w:sz w:val="20"/>
        </w:rPr>
        <w:t xml:space="preserve"> by the applicable Agent deducting the Selling Commission from the applicable Issuance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Placement ADSs (including all printing and engraving costs); (ii) all fees and expenses of the registrar and transfer agent for the Ordinary Shares and the fees and expenses of the Depositary for the ADSs; (iii) all necessary issue, transfer and other stamp taxes in connection with the issuance and sale of the Placement ADSs;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reasonable attorneys’ fees and expenses incurred by the Company or the Agents in connection with qualifying or registering (or obtaining exemptions from the qualification or registration of) all or any part of the Placement ADSs for offer and sale under the state securities or blue sky laws or the provincial securities laws of Canada, and, if requested by the Agents, preparing and printing a “</w:t>
      </w:r>
      <w:r>
        <w:rPr>
          <w:rFonts w:ascii="Times New Roman;Times;Serif" w:hAnsi="Times New Roman;Times;Serif"/>
          <w:b/>
          <w:i w:val="false"/>
          <w:caps w:val="false"/>
          <w:smallCaps w:val="false"/>
          <w:sz w:val="20"/>
        </w:rPr>
        <w:t>Blue Sky Survey</w:t>
      </w:r>
      <w:r>
        <w:rPr>
          <w:rFonts w:ascii="Times New Roman;Times;Serif" w:hAnsi="Times New Roman;Times;Serif"/>
          <w:b w:val="false"/>
          <w:i w:val="false"/>
          <w:caps w:val="false"/>
          <w:smallCaps w:val="false"/>
          <w:sz w:val="20"/>
        </w:rPr>
        <w:t>” or memorandum and any supplements thereto, advising the Agents of such qualifications, registrations, determinations and exemptions (such fees and expenses of counsel for the Agents not to exceed $10,000 in the aggregate); (vii) the reasonable fees and disbursements of the Agents’ counsel, including the reasonable fees and expenses of counsel for the Agents in connection with, FINRA review, if any, and approval of the Agents’ participation in the offering and distribution of the Placement ADSs (such fees and expenses of counsel for the Agents not to exceed $10,000 in the aggregate); (viii) the filing fees incident to FINRA review, if any; and (ix) the fees and expenses associated with listing the Placement ADSs on the Principal Market or listing the Ordinary Shares on the SEHK.</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ADDITIONAL 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Agents as follows, in addition to any other covenants and agreements made elsewhere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During the Agency Period, the Company shall (i) file, on a timely basis, with the Commission all reports and documents required to be filed under the Exchange Act, as applicable to the Company, in the manner and within the time periods required by the Exchange Act; and (ii) either, in the Company’s sole discretion, include in an annual report on Form 20-F or a report on Form 6-K filed or submitted by the Company in respect of any quarterly period or fiscal interim period, as applicable, in which sales of Placement ADSs were made by or through an Agent under this Agreement, a summary detailing, for the relevant period, (1) the number of Placement ADSs, if any, sold by or through an Agent pursuant to this Agreement during such period and (2) the net proceeds, if any, received by the Company from such sales or, to the extent required by applicable law. For the avoidance of doubt, any report on Form 6-K filed or submitted by the Company under clause (ii) herein in respect of any quarterly period that is not a fiscal interim period, such report shall solely provide the information required in clause (ii) and does not create an obligation for the Company to provide any other financial information for such quarter. In addition, the Company shall not be obligated to provide or otherwise disclose to the Agents any non-public information related to the sale of Placement ADSs sold under this Agreement other than in connection with a Company Periodic Report Date, including any such non-public information provided or disclosed to SEHK.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and (v) of the Company ceasing to be eligible to use the automatic shelf registration statement form. If the Commission shall enter any such stop order at any time, the Company will use its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Amendments and Supplements to the Prospectus and Other Securities Act Matters</w:t>
      </w:r>
      <w:r>
        <w:rPr>
          <w:rFonts w:ascii="Times New Roman;Times;Serif" w:hAnsi="Times New Roman;Times;Serif"/>
          <w:b w:val="false"/>
          <w:i w:val="false"/>
          <w:caps w:val="false"/>
          <w:smallCaps w:val="false"/>
          <w:sz w:val="20"/>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counsel for the Agents it is otherwise necessary to amend or supplement the Prospectus to comply with applicable law, including the Securities Act, the Company agrees (subject to Section 4(d) and Section 4(f))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Section 4(f). Notwithstanding the foregoing, the Company shall not be required to file such amendment or supplement if there is no pending Issuance Notice and the Company believes that it is in its best interests not to file such amendment or supplement; provided, however, the Company agrees not to provide an Issuance Notice or otherwise sell under this Agreement until such amendment or supplement is filed or it is determined that such amendment or supplement is no longer required;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which consent will not be unreasonably withheld, conditioned or delayed, and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Use of Free Writing Prospectus</w:t>
      </w:r>
      <w:r>
        <w:rPr>
          <w:rFonts w:ascii="Times New Roman;Times;Serif" w:hAnsi="Times New Roman;Times;Serif"/>
          <w:b w:val="false"/>
          <w:i w:val="false"/>
          <w:caps w:val="false"/>
          <w:smallCaps w:val="false"/>
          <w:sz w:val="20"/>
        </w:rPr>
        <w:t>. Neither the Company nor the Agents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xml:space="preserve">.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will not be unreasonably withheld, conditioned or delayed.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Placement ADSs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will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Filing of Agent Free Writing Prospectuses</w:t>
      </w:r>
      <w:r>
        <w:rPr>
          <w:rFonts w:ascii="Times New Roman;Times;Serif" w:hAnsi="Times New Roman;Times;Serif"/>
          <w:b w:val="false"/>
          <w:i w:val="false"/>
          <w:caps w:val="false"/>
          <w:smallCaps w:val="false"/>
          <w:sz w:val="20"/>
        </w:rPr>
        <w:t>. The Company shall not take any action that would result in any Agent or the Company being required to file with the Commission pursuant to Rule 433(d) under the Securities Act a free writing prospectus prepared by or on behalf of such Agent that such Agent otherwise would not have been required to file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Copies of Registration Statement and Prospectus</w:t>
      </w:r>
      <w:r>
        <w:rPr>
          <w:rFonts w:ascii="Times New Roman;Times;Serif" w:hAnsi="Times New Roman;Times;Serif"/>
          <w:b w:val="false"/>
          <w:i w:val="false"/>
          <w:caps w:val="false"/>
          <w:smallCaps w:val="false"/>
          <w:sz w:val="20"/>
        </w:rPr>
        <w:t>. After the date of this Agreement through the last time that a prospectus is required by the Securities Act (including, without limitation, pursuant to Rule 173(d)) to be delivered in connection with sales of the Placement ADSs,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Placement ADSs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Agents and to request that the Agents suspend offers to sell Placement ADSs (and, if so notified, the Agents shall cease such offers as soon as practicable); and if the Company decides to amend or supplement the Registration Statement or the Prospectus as then amended or supplemented, to advise the Agents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any Agent is required to deliver a prospectus in respect of transactions in the Placement ADSs, the Company shall promptly prepare and file with the Commission such an amendment or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Agents and counsel for the Agents to qualify or register the Placement ADSs for sale under (or obtain exemptions from the application of) the state securities or blue sky laws or securities laws of those jurisdictions designated by the Agents, shall comply with such laws and shall continue such qualifications, registrations and exemptions in effect so long as required for the distribution of the Placement ADSs.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Placement ADSs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To the extent not available on EDGAR, as soon as practicable, the Company will make generally available to its security holders and to the Agents an earnings statement (which need not be audited) covering a period of at least twelve months beginning with the first fiscal interim period of the Company occurring after the date of this Agreement which shall satisfy the provisions of Section 11(a) of the Securities Act and Rule 158 under the Securities Act. For the avoidance of doubt, the Company’s compliance with the reporting requirements of the Exchange Act shall be deemed to satisfy the requirements of this Section 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Listing; Reservation of Ordinary Shares</w:t>
      </w:r>
      <w:r>
        <w:rPr>
          <w:rFonts w:ascii="Times New Roman;Times;Serif" w:hAnsi="Times New Roman;Times;Serif"/>
          <w:b w:val="false"/>
          <w:i w:val="false"/>
          <w:caps w:val="false"/>
          <w:smallCaps w:val="false"/>
          <w:sz w:val="20"/>
        </w:rPr>
        <w:t>. (a) The Company will use its commercially reasonable efforts to effect and maintain the listing of the Placement ADSs on, and satisfy the requirements of, the Principal Market and the listing of the Ordinary Shares on, and satisfy the requirements of, the SEHK; and (b) the Company will reserve and keep available at all times, free of preemptive rights, sufficient Ordinary Shares for the purpose of enabling the Company to satisfy its obligations under this Agreement, including deposit with the Depositary for issuance of the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The Company has engaged and will maintain, at its sole expense, a depositary for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as the Agents may reasonably request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acknowledges that each delivery of an Issuance Notice and each delivery of Placement ADSs on a Settlement Date shall be deemed to be (i) an affirmation to the applicable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Agents if any of such representations and warranties will not be true and correct as of the Settlement Date for the Placement ADSs relating to such Issuance Notice, as though made at and as of each such date (except that such representations and warranties shall be deemed to relate to the Registration Statement and the Prospectus as amended and supplemented relating to such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Deliverables at Triggering Event Dates; Certificates</w:t>
      </w:r>
      <w:r>
        <w:rPr>
          <w:rFonts w:ascii="Times New Roman;Times;Serif" w:hAnsi="Times New Roman;Times;Serif"/>
          <w:b w:val="false"/>
          <w:i w:val="false"/>
          <w:caps w:val="false"/>
          <w:smallCaps w:val="false"/>
          <w:sz w:val="20"/>
        </w:rPr>
        <w:t>. The Company agrees that on or prior to the date of the first Issuance Notice and, during the term of this Agreement after the date of the first Issuance Notice, upon: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filing of the Prospectus or the amendment or supplement of any Registration Statement or Prospectus (other than a prospectus supplement relating solely to an offering of securities other than the Placement ADSs or a prospectus filed pursuant to Section 4(a)(ii)(B)), by means of a post-effective amendment, sticker or supplement, but not by means of incorporation of documents by reference into the Registration Statement or Prospectus;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with the Commission of an annual report on Form 20-F or a report on Form 6-K filed by the Company in respect of any fiscal interim period (including any Form 20-F/A or Form 6-K/A containing amended financial information or a material amendment to the previously filed annual report on Form 20-F or report on Form 6-K filed by the Company in respect of any fiscal interim period), in each case,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with the Commission of a Report on Form 6-K of the Company containing amended financial information that is considered “filed” under the Exchange Act;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otherwise as each Agent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a “</w:t>
      </w:r>
      <w:r>
        <w:rPr>
          <w:rFonts w:ascii="Times New Roman;Times;Serif" w:hAnsi="Times New Roman;Times;Serif"/>
          <w:b/>
          <w:i w:val="false"/>
          <w:caps w:val="false"/>
          <w:smallCaps w:val="false"/>
          <w:sz w:val="20"/>
        </w:rPr>
        <w:t>Triggering Event Date</w:t>
      </w:r>
      <w:r>
        <w:rPr>
          <w:rFonts w:ascii="Times New Roman;Times;Serif" w:hAnsi="Times New Roman;Times;Serif"/>
          <w:b w:val="false"/>
          <w:i w:val="false"/>
          <w:caps w:val="false"/>
          <w:smallCaps w:val="false"/>
          <w:sz w:val="20"/>
        </w:rPr>
        <w:t xml:space="preserve">”), the Company shall furnish the Agents (but in the case of clause (C) above only if the Agents reasonably determine that the information contained in such report on Form 6-K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Times;Serif" w:hAnsi="Times New Roman;Times;Serif"/>
          <w:b w:val="false"/>
          <w:i w:val="false"/>
          <w:caps w:val="false"/>
          <w:smallCaps w:val="false"/>
          <w:sz w:val="20"/>
          <w:u w:val="single"/>
        </w:rPr>
        <w:t>Section 5(a)(iii)</w:t>
      </w:r>
      <w:r>
        <w:rPr>
          <w:rFonts w:ascii="Times New Roman;Times;Serif" w:hAnsi="Times New Roman;Times;Serif"/>
          <w:b w:val="false"/>
          <w:i w:val="false"/>
          <w:caps w:val="false"/>
          <w:smallCaps w:val="false"/>
          <w:sz w:val="20"/>
        </w:rPr>
        <w:t xml:space="preserve"> hereof, (C) confirming that there are no material changes to the Company’s business or intellectual property, as applicable, during the period covered by such report, and (D) containing any other certification that the Agents shall reasonably request. The requirement to provide a certificate under this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xml:space="preserve"> shall be waived for any Triggering Event Date occurring at a time when no Issuance Notice is pending or a suspension is in effect, which waiver shall continue until the earlier to occur of the date the Company delivers instructions for the sale of Placement ADSs hereunder (which for such fiscal interim period shall be considered a Triggering Event Date) and the next occurring Triggering Event Date. Notwithstanding the foregoing, if the Company subsequently decides to sell Placement ADSs following a Triggering Event Date when a suspension was in effect and did not provide the Agents with a certificate under this Section 4(p), then before the Company delivers the instructions for the sale of Placement ADSs or any Agent sells any Placement ADSs pursuant to such instructions, the Company shall provide the Agents with a certificate in conformity with this Section 4(p) dated as of the date that the instructions for the sale of Placement ADSs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Company Legal Opinions and Negative Assurance Letter.</w:t>
      </w:r>
      <w:r>
        <w:rPr>
          <w:rFonts w:ascii="Times New Roman;Times;Serif" w:hAnsi="Times New Roman;Times;Serif"/>
          <w:b w:val="false"/>
          <w:i w:val="false"/>
          <w:caps w:val="false"/>
          <w:smallCaps w:val="false"/>
          <w:sz w:val="20"/>
        </w:rPr>
        <w:t xml:space="preserve"> On or prior to the date of the first Issuance Notice and on or prior to each Triggering Event Date with respect to which the Company is obligated to deliver a certificate pursuant to Section 4(p) for which no waiver is applicable and excluding the date of this Agreement, the Company shall cause to be furnished to the Agents (i) a written legal opinion and negative assurance letter from DLA Piper LLP (US), U.S. counsel for the Company, (ii) a written legal opinion from DLA Piper (Hong Kong), Hong Kong counsel for the Company, (iii) a written legal opinion from JunHe LLP, PRC counsel for the Company, (iv) a written legal opinion from Walkers (Hong Kong), Cayman Islands counsel for the Company and Ascentage Investment International, a subsidiary of the Company, (v) a written legal opinion from Goodwin Procter LLP, intellectual property counsel for the Company with respect to certain U.S. intellectual property matters, (vi) a written legal opinion from Honigman LLP, intellectual property counsel for the Company with respect to certain U.S. intellectual property matters, (vii) a written legal opinion from JunHe LLP, intellectual property counsel for the Company with respect to certain U.S. intellectual property matters, (viii) a written legal opinion from JunHe LLP, intellectual property counsel for the Company with respect to certain PRC intellectual property matters, (ix) a written legal opinion from Barnes &amp; Thornburg LLP, intellectual property counsel for the Company with respect to certain U.S. intellectual property matters, (x) a written legal opinion from Marshall, Gerstein and Borun LLP, intellectual property counsel for the University of Michigan, and (xi) a written legal opinion from the University of Michigan, the licensor of certain U.S. patents and patent applications licensed to the Company, each dated the date of delivery, in form and substance reasonably satisfactory to the Agents and their counsel, substantially similar to the form previously provided to the Agents and their counsel, modified, as necessary, to relate to the Registration Statement and the Prospectus as then amended or supplemented;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the Company shall be required to furnish no more than one full set of written legal opinions and negative assurance letters, as applicable, of Company counsel in connection with the filing of an annual report on Form 20-F and (ii) with respect to any report on 6-K filed in connection with an interim fiscal period other than an Annual Report on Form 20-F, unless otherwise requested by the Agents, (A) the Company shall only be required to furnish or cause to be furnished to the Agents written opinions and/or negative assurance letters set forth in clauses (i) through (iv) referred to in this Section 4(q), in form and substance reasonably satisfactory to the Agents and their counsel, and (B) no opinions shall be required for clause (v) through (xi) referred to in this Section 4(q) and the Agents shall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 The requirement to provide the opinions and negative assurance letters under this Section 4(q) shall be waived for any Triggering Event Date occurring at a time when no Issuance Notice is pending or a suspension is in effect, which waiver shall continue until the earlier to occur of the date the Company delivers instructions for the sale of Placement ADSs hereunder (which for such fiscal interim period shall be considered a Triggering Event Date) and the next occurring Triggering Event Date. Notwithstanding the foregoing, if the Company subsequently decides to sell Placement ADSs following a Triggering Event Date when a suspension was in effect and did not provide the Agents with the opinions and negative assurance letters under this Section 4(q), then before the Company delivers the instructions for the sale of Placement ADSs or any Agent sells any Placement ADSs pursuant to such instructions, the Company shall provide the Agents with the full set of opinions and negative assurance letters in conformity with this Section 4(q) dated as of the date that the instructions for the sale of Placement ADSs are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Depositary Legal Opinion</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4(p) for which no waiver is applicable and excluding the date of this Agreement, the Depositary shall cause to be furnished to the Agents a written legal opinion from Ziegler, Ziegler &amp; Associates LLP, counsel for the Depositary, each dated the date of delivery, in form and substance reasonably satisfactory to the Agents and their counsel, substantially similar to the form previously provided to the Agents and their counsel, modified, as necessary, to relate to the Registration Statement and the Prospectus as then amended or supplemented; provided that (i) the counsel for the Depositary shall be required to furnish no more than one full set of written legal opinion in connection with the filing of an annual report on Form 20-F and (ii) with respect to any report on 6-K filed in connection with an interim fiscal period other than an Annual Report on 20-F, the counsel for the Depositary may, in lieu of such opinion, furnish a reliance letter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4(p) for which no waiver is applicable and excluding the date of this Agreement, the Company shall cause the independent registered public accounting firm who has audited the financial statements included or incorporated by reference in the Registration Statement,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a comfort letter to be furnished to the Agents upon the occurrence of any material transaction or event requiring the filing of a report on Form 6-K containing material amended financial information of the Company, including the restatement of the Company’s financial statements, promptly following the filing of such report on Form 6-K. After the initial comfort letter is furnished on or prior to the date of the first Issuance Notice, the Company shall be required to furnish no more than one comfort letter hereunder per fiscal interim period. Notwithstanding anything to the contrary, it is understood and agreed between the Company and the Agents that no Agent shall be obligated to make any offer or sale of Placement ADSs at any time after the lapse of 135 days from the date of the most recent financial statements reviewed or audited by the independent registered public accounting firm and included in their then latest comfort letter, unless and until a new comfort letter, in form and substance reasonably satisfactory to the Agents and their counsel, has been delivered to the Agents with respect to the most recently completed quarterly or interim period, as applicable, subject to any changes in PCOAB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date of the first Issuance Notice and on or prior to each Triggering Event Date, the Company shall furnish the Agents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Placement ADSs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Agents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Agents’ Own Account; Clients’ Account</w:t>
      </w:r>
      <w:r>
        <w:rPr>
          <w:rFonts w:ascii="Times New Roman;Times;Serif" w:hAnsi="Times New Roman;Times;Serif"/>
          <w:b w:val="false"/>
          <w:i w:val="false"/>
          <w:caps w:val="false"/>
          <w:smallCaps w:val="false"/>
          <w:sz w:val="20"/>
        </w:rPr>
        <w:t>. The Company consents to the Agents trading, in compliance with applicable law, in the ADSs for the Agents’ own account and for the account of their clients at the same time as sales of the Placement ADSs occur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Investment Limitation</w:t>
      </w:r>
      <w:r>
        <w:rPr>
          <w:rFonts w:ascii="Times New Roman;Times;Serif" w:hAnsi="Times New Roman;Times;Serif"/>
          <w:b w:val="false"/>
          <w:i w:val="false"/>
          <w:caps w:val="false"/>
          <w:smallCaps w:val="false"/>
          <w:sz w:val="20"/>
        </w:rPr>
        <w:t>. The Company shall not invest, or otherwise use the proceeds received by the Company from its sale of the Placement ADSs in such a manner as would require the Company or any of its subsidiaries to register as an investment company under the Investment Company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take, directly or indirectly, any action designed to or that might be reasonably expected to cause or result in stabilization or manipulation of the price of the Placement ADSs or any other reference security, whether to facilitate the sale or resale of the Placement ADSs or otherwise, and the Company will, and shall use commercially reasonable efforts to cause each of its Affiliates to, comply with all applicable provisions of Regulation M. If the limitations of Rule 102 of Regulation M (“</w:t>
      </w:r>
      <w:r>
        <w:rPr>
          <w:rFonts w:ascii="Times New Roman;Times;Serif" w:hAnsi="Times New Roman;Times;Serif"/>
          <w:b/>
          <w:i w:val="false"/>
          <w:caps w:val="false"/>
          <w:smallCaps w:val="false"/>
          <w:sz w:val="20"/>
        </w:rPr>
        <w:t>Rule 102</w:t>
      </w:r>
      <w:r>
        <w:rPr>
          <w:rFonts w:ascii="Times New Roman;Times;Serif" w:hAnsi="Times New Roman;Times;Serif"/>
          <w:b w:val="false"/>
          <w:i w:val="false"/>
          <w:caps w:val="false"/>
          <w:smallCaps w:val="false"/>
          <w:sz w:val="20"/>
        </w:rPr>
        <w:t>”) do not apply with respect to the Placement ADSs or any other reference security pursuant to any exception set forth in Section (d) of Rule 102, then promptly upon notice from the Agents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Renewal Deadline</w:t>
      </w:r>
      <w:r>
        <w:rPr>
          <w:rFonts w:ascii="Times New Roman;Times;Serif" w:hAnsi="Times New Roman;Times;Serif"/>
          <w:b w:val="false"/>
          <w:i w:val="false"/>
          <w:caps w:val="false"/>
          <w:smallCaps w:val="false"/>
          <w:sz w:val="20"/>
        </w:rPr>
        <w:t>. If, immediately prior to the third anniversary of the initial effective date of the Original Registration Statement (the “</w:t>
      </w:r>
      <w:r>
        <w:rPr>
          <w:rFonts w:ascii="Times New Roman;Times;Serif" w:hAnsi="Times New Roman;Times;Serif"/>
          <w:b/>
          <w:i w:val="false"/>
          <w:caps w:val="false"/>
          <w:smallCaps w:val="false"/>
          <w:sz w:val="20"/>
        </w:rPr>
        <w:t>Renewal Deadline</w:t>
      </w:r>
      <w:r>
        <w:rPr>
          <w:rFonts w:ascii="Times New Roman;Times;Serif" w:hAnsi="Times New Roman;Times;Serif"/>
          <w:b w:val="false"/>
          <w:i w:val="false"/>
          <w:caps w:val="false"/>
          <w:smallCaps w:val="false"/>
          <w:sz w:val="20"/>
        </w:rPr>
        <w:t>”), this Agreement is still in effect or any Placement ADSs purchased by an Agent as principal remain unsold, the Company will, prior to the Renewal Deadline, (i) promptly notify the Agents and (ii) promptly file, if it is eligible to do so, a new automatic shelf registration statement relating to the Placement ADSs, in form and substance satisfactory to the Agents. If, at the time the Company intends to file such a new automatic shelf registration statement, it is not eligible to do so, the Company will, prior to the Renewal Deadline, (i) promptly notify the Agents, (ii) promptly file a new shelf registration statement on the proper form relating to the Placement ADSs, in form and substance satisfactory to the Agents, (iii) use its commercially reasonable efforts to cause such new shelf registration statement to be declared effective within 60 days after the Renewal Deadline, and (iv) promptly notify the Agents of such effectiveness. The Company will take all other action necessary or appropriate to permit the offering and sale of the Placement ADSs to continue as contemplated in the expired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Ceasing Eligibility for Use of Automatic Shelf Registration Statement Form</w:t>
      </w:r>
      <w:r>
        <w:rPr>
          <w:rFonts w:ascii="Times New Roman;Times;Serif" w:hAnsi="Times New Roman;Times;Serif"/>
          <w:b w:val="false"/>
          <w:i w:val="false"/>
          <w:caps w:val="false"/>
          <w:smallCaps w:val="false"/>
          <w:sz w:val="20"/>
        </w:rPr>
        <w:t>. If, at any time during the term of this Agreement or otherwise when Placement ADSs purchased by an Agent as principal remain unsold, the Company receives a notice from the Commission pursuant to Rule 401(g)(2) under the Securities Act or otherwise ceases to be eligible to use the automatic shelf registration statement form, the Company will (i) promptly notify the Agents, (ii) promptly file a new shelf registration statement or post-effective amendment on the proper form relating to such Placement ADSs, in form and substance satisfactory to the Agents, (iii) use its commercially reasonable efforts to cause such new shelf registration statement or post-effective amendment to be declared effective as soon as practicable, and (iv) promptly notify the Agents of such effectiveness. The Company will take all other action necessary or appropriate to permit the offering and sale of the Placement ADSs to continue as contemplated in the Registration Statement that was the subject of the Rule 401(g)(2) notice or for which the Company has otherwise become ineligible.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Notice of Other Sale</w:t>
      </w:r>
      <w:r>
        <w:rPr>
          <w:rFonts w:ascii="Times New Roman;Times;Serif" w:hAnsi="Times New Roman;Times;Serif"/>
          <w:b w:val="false"/>
          <w:i w:val="false"/>
          <w:caps w:val="false"/>
          <w:smallCaps w:val="false"/>
          <w:sz w:val="20"/>
        </w:rPr>
        <w:t>. Upon commencement of an offering of Placement ADSs under this Agreement and until the close of business on the Settlement Date for any related transaction, unless the Company gives the Agents at least two business days’ prior written notice, the Company will not, directly or indirectly, offer to sell, sell, contract to sell, grant any option to sell or otherwise dispose of any ADSs or Ordinary Shares or securities convertible into or exchangeable for ADSs or Ordinary Shares (other than Placement ADSs hereunder), warrants or any rights to purchase or acquire ADSs or Ordinary Shares; and without the written consent of the Agents, will not directly or indirectly enter into any agreement with an agent or underwriter for any other “at the market” or continuous equity transaction to offer to sell, sell, contract to sell, grant any option to sell or otherwise dispose of any ADSs or Ordinary Shares (other than the Placement ADSs offered pursuant to this Agreement) or securities convertible into or exchangeable for ADSs or Ordinary Shares, warrants or any rights to purchase or acquire ADSs or Ordinary Shares prior to the termination of this Agreement; provided, however, that such restrictions will not be required in connection with the Company’s (i) issuance and sale of the Placement ADSs to be sold hereunder, (ii) issuance or sale of Ordinary Shares, ADSs, options to purchase Ordinary Shares or ADSs or Ordinary Shares or ADSs issuable upon the exercise, settlement or vesting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(iii) issuance or sale of Ordinary Shares or ADSs issuable upon exchange, conversion or redemption of securities or the exercise, settlement or vesting of warrants, options or other equity awards outstanding at the date of this Agreement or granted or issued after the date of this Agreement in compliance with this Section 4(z), (iv) modification of any outstanding options, warrants or any rights to purchase or acquire Ordinary Shares or ADSs, (v) the filing of one or more registration statements on Form S-8 with the Commission with respect to Ordinary Shares or ADSs issued or issuable under any equity compensation or incentive plans, (vi) any Ordinary Shares, ADSs or other securities issued in 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or (vii) any offer or sale of Ordinary Shares on the SEHK.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Advanced Notification</w:t>
      </w:r>
      <w:r>
        <w:rPr>
          <w:rFonts w:ascii="Times New Roman;Times;Serif" w:hAnsi="Times New Roman;Times;Serif"/>
          <w:b w:val="false"/>
          <w:i w:val="false"/>
          <w:caps w:val="false"/>
          <w:smallCaps w:val="false"/>
          <w:sz w:val="20"/>
        </w:rPr>
        <w:t>. The Company will not sell any Placement ADSs through any Agent without giving such Agent at least six business day’s prior written notice, or such other period as may be agreed among the Company and the Agent, by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CSRC Filing</w:t>
      </w:r>
      <w:r>
        <w:rPr>
          <w:rFonts w:ascii="Times New Roman;Times;Serif" w:hAnsi="Times New Roman;Times;Serif"/>
          <w:b w:val="false"/>
          <w:i w:val="false"/>
          <w:caps w:val="false"/>
          <w:smallCaps w:val="false"/>
          <w:sz w:val="20"/>
        </w:rPr>
        <w:t>. The Company (A) will comply with all requirements and timely submit all requisite filings in connection with the sale of the Placement ADSs (including, without limitation, the filing report of the Company in relation to the sale of Placement ADSs, including any amendments, supplements and/or modifications thereof, to be submitted to the CSRC pursuant to Article 13 of the CSRC Filing Rules (as defined below) (the “</w:t>
      </w:r>
      <w:r>
        <w:rPr>
          <w:rFonts w:ascii="Times New Roman;Times;Serif" w:hAnsi="Times New Roman;Times;Serif"/>
          <w:b/>
          <w:i w:val="false"/>
          <w:caps w:val="false"/>
          <w:smallCaps w:val="false"/>
          <w:sz w:val="20"/>
        </w:rPr>
        <w:t>CSRC Filing Report</w:t>
      </w:r>
      <w:r>
        <w:rPr>
          <w:rFonts w:ascii="Times New Roman;Times;Serif" w:hAnsi="Times New Roman;Times;Serif"/>
          <w:b w:val="false"/>
          <w:i w:val="false"/>
          <w:caps w:val="false"/>
          <w:smallCaps w:val="false"/>
          <w:sz w:val="20"/>
        </w:rPr>
        <w:t>”) and supplementary explanation, filings and/or responses for the purpose of replying to queries and comments raised by the CSRC) (the “</w:t>
      </w:r>
      <w:r>
        <w:rPr>
          <w:rFonts w:ascii="Times New Roman;Times;Serif" w:hAnsi="Times New Roman;Times;Serif"/>
          <w:b/>
          <w:i w:val="false"/>
          <w:caps w:val="false"/>
          <w:smallCaps w:val="false"/>
          <w:sz w:val="20"/>
        </w:rPr>
        <w:t>CSRC Filings</w:t>
      </w:r>
      <w:r>
        <w:rPr>
          <w:rFonts w:ascii="Times New Roman;Times;Serif" w:hAnsi="Times New Roman;Times;Serif"/>
          <w:b w:val="false"/>
          <w:i w:val="false"/>
          <w:caps w:val="false"/>
          <w:smallCaps w:val="false"/>
          <w:sz w:val="20"/>
        </w:rPr>
        <w:t>”)) with the CSRC pursuant to the CSRC Filing Rules and all applicable laws, and the Company has not received any written notice of rejection, withdrawal or revocation from the CSRC in connection with such CSRC Filings. Each of the CSRC Filings made by or on behalf of the Company will be in compliance with the disclosure requirements pursuant to the CSRC Filing Rules; (B) will make CSRC Filings required by the rules of the CSRC and perform other obligations required thereby, including obligations in connection with (a) the maintenance of adequate and effective internal control measures and internal systems for maintenance of data protection, confidentiality and archive administration; (b) the relevant requirements and approval and filing procedures in connection with its handling, disclosure, transfer and retention of transfer of state secrets and working secrets of government agencies or any other documents or materials that would otherwise be detrimental to national securities or public interest (the “</w:t>
      </w:r>
      <w:r>
        <w:rPr>
          <w:rFonts w:ascii="Times New Roman;Times;Serif" w:hAnsi="Times New Roman;Times;Serif"/>
          <w:b/>
          <w:i w:val="false"/>
          <w:caps w:val="false"/>
          <w:smallCaps w:val="false"/>
          <w:sz w:val="20"/>
        </w:rPr>
        <w:t>Relevant Information</w:t>
      </w:r>
      <w:r>
        <w:rPr>
          <w:rFonts w:ascii="Times New Roman;Times;Serif" w:hAnsi="Times New Roman;Times;Serif"/>
          <w:b w:val="false"/>
          <w:i w:val="false"/>
          <w:caps w:val="false"/>
          <w:smallCaps w:val="false"/>
          <w:sz w:val="20"/>
        </w:rPr>
        <w:t>”); (c) maintenance of confidentiality of any Relevant Information and (d) where there is any material information that shall be reported to the CSRC pursuant to the applicable laws (including, without limitation, the CSRC Rules), prompt notification to the CSRC or the relevant PRC government authorities and providing it with such material information in accordance with the applicable laws, and promptly notifying the Agents of such material information to the extent permitted by the applicable laws; (C) will ensure that each of the letters, filings, correspondences, communications, documents, responses, undertakings and submissions in any form, including any amendments, supplements and/or modifications thereof, made or to be made to the CSRC relating to or in connection with the sales of the Placement ADSs pursuant to the CSRC Filing Rules and other applicable rules and requirements of the CSRC (including, without limitation, the filing report of the Company in relation to this offering, including any amendments, supplements and/or modifications thereof, submitted to the CSRC pursuant to Article 13 of the CSRC Filing Rules and CSRC Filings will be complete, true and accurate and not misleading in any respect, and will not omit any information which would make the statements made therein, in light of the circumstances under which they were made, misleading in any respect or contain any statement or commentary that in any manner misrepresents, disparages or being defamatory of any person or any jurisdiction as of the date of relevant filing with the CSRC.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 CSRC Undertaking</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connection with the sale of the Placement ADSs subject to the CSRC Filing Rules, the Company will (i) provide information and assistance as reasonably requested by the Agents, (ii) maintain compliance with the CSRC Rules regarding the accuracy and adequacy of information provided in the documents submitted to the CSRC, (iii) ensure there are no circumstances prohibiting the sale of Placement ADSs under CSRC Rules, (iv) comply with PRC data and confidentiality laws regarding the offering, and (v) indemnify and hold harmless the Agents, and any individual acting on behalf of the Agents, including any individual signing any letter of undertaking in connection with the sale of the Placement ADSs, against any and all losses, claims, damages or liabilities, joint or several, and any actions in respect thereof (including, without limitation, any losses, claims, damages, liabilities or actions relating to the purchase or sale of the Placement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CSRC Indemnification</w:t>
      </w:r>
      <w:r>
        <w:rPr>
          <w:rFonts w:ascii="Times New Roman;Times;Serif" w:hAnsi="Times New Roman;Times;Serif"/>
          <w:b w:val="false"/>
          <w:i w:val="false"/>
          <w:caps w:val="false"/>
          <w:smallCaps w:val="false"/>
          <w:sz w:val="20"/>
        </w:rPr>
        <w:t>. The Company shall, on the date hereof, execute and deliver a back-to-back confirmation and an indemnification letter to the Agents with respect to, among other things, the truth, accuracy and completeness of information contained in each CSRC Filings, in a form substantially agreed with such Agents.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CONDITIONS TO DELIVERY OF ISSUANCE NOTICES AND TO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Conditions Precedent to the Right of the Company to Deliver an Issuance Notice and the Obligation of the Applicable Agent to Sell Placement ADSs</w:t>
      </w:r>
      <w:r>
        <w:rPr>
          <w:rFonts w:ascii="Times New Roman;Times;Serif" w:hAnsi="Times New Roman;Times;Serif"/>
          <w:b w:val="false"/>
          <w:i w:val="false"/>
          <w:caps w:val="false"/>
          <w:smallCaps w:val="false"/>
          <w:sz w:val="20"/>
        </w:rPr>
        <w:t>. The right of the Company to deliver an Issuance Notice hereunder is subject to the satisfaction, on the date of delivery of such Issuance Notice, and the obligation of the applicable Agent to use its commercially reasonable efforts to place Placement ADSs during the applicable period set forth in the Issuance Notice is subject to the satisfaction, on each Trading Day during the applicable period set forth in the Issuance Notice,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Accuracy of the Company’s Representations and Warranties; Performance by the Company</w:t>
      </w:r>
      <w:r>
        <w:rPr>
          <w:rFonts w:ascii="Times New Roman;Times;Serif" w:hAnsi="Times New Roman;Times;Serif"/>
          <w:b w:val="false"/>
          <w:i w:val="false"/>
          <w:caps w:val="false"/>
          <w:smallCaps w:val="false"/>
          <w:sz w:val="20"/>
        </w:rPr>
        <w:t xml:space="preserve">. The Company shall have delivered the certificate required to be delivered pursuant to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xml:space="preserve"> on or before the date on which delivery of such certificate is required pursuant to </w:t>
      </w:r>
      <w:r>
        <w:rPr>
          <w:rFonts w:ascii="Times New Roman;Times;Serif" w:hAnsi="Times New Roman;Times;Serif"/>
          <w:b w:val="false"/>
          <w:i w:val="false"/>
          <w:caps w:val="false"/>
          <w:smallCaps w:val="false"/>
          <w:sz w:val="20"/>
          <w:u w:val="single"/>
        </w:rPr>
        <w:t>Section 4(p)</w:t>
      </w:r>
      <w:r>
        <w:rPr>
          <w:rFonts w:ascii="Times New Roman;Times;Serif" w:hAnsi="Times New Roman;Times;Serif"/>
          <w:b w:val="false"/>
          <w:i w:val="false"/>
          <w:caps w:val="false"/>
          <w:smallCaps w:val="false"/>
          <w:sz w:val="20"/>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Times;Serif" w:hAnsi="Times New Roman;Times;Serif"/>
          <w:b w:val="false"/>
          <w:i w:val="false"/>
          <w:caps w:val="false"/>
          <w:smallCaps w:val="false"/>
          <w:sz w:val="20"/>
          <w:u w:val="single"/>
        </w:rPr>
        <w:t>Section 4(q)</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4(s).</w:t>
      </w:r>
      <w:r>
        <w:rPr>
          <w:rFonts w:ascii="Times New Roman;Times;Serif" w:hAnsi="Times New Roman;Times;Serif"/>
          <w:b w:val="false"/>
          <w:i w:val="false"/>
          <w:caps w:val="false"/>
          <w:smallCaps w:val="false"/>
          <w:sz w:val="20"/>
        </w:rPr>
        <w:t xml:space="preserve"> (ii)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Except as disclosed in the Prospectus and the Time of Sale Information, (a) in the judgment of the Agents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No Suspension of Trading in or Delisting of ADSs; Other Events</w:t>
      </w:r>
      <w:r>
        <w:rPr>
          <w:rFonts w:ascii="Times New Roman;Times;Serif" w:hAnsi="Times New Roman;Times;Serif"/>
          <w:b w:val="false"/>
          <w:i w:val="false"/>
          <w:caps w:val="false"/>
          <w:smallCaps w:val="false"/>
          <w:sz w:val="20"/>
        </w:rPr>
        <w:t>. The trading of the ADSs (including without limitation the Placement ADSs) shall not have been suspended by the Commission, the Principal Market or FINRA and the ADSs (including without limitation the Placement ADSs)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by the Principal Market or by the SEHK or trading in securities generally on the Principal Market shall have been suspended or limited, or minimum or maximum prices shall have been generally established on any of such stock exchanges by the Commission or FINRA; (ii) a general banking moratorium shall have been declared by any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Placement ADSs in the manner and on the terms described in the Prospectus or to enforce contracts for the sale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Agents’ Counsel Opinion and Negative Assurances Letter</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4(p) for which no waiver is applicable and excluding the date of this Agreement, (i) Davis Polk &amp; Wardwell LLP, the Agents’ U.S. counsel, shall have furnished to the Agents a negative assurance letter and written legal opinion and (ii) Commerce &amp; Finance Law Offices, the Agents’ PRC counsel shall have furnished to the Agents a written legal opinion, each dated the date of delivery, in form and substance reasonably satisfactory to the Agents, modified, as necessary, to relate to the Registration Statement and the Prospectus as then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Documents Required to be Delivered on each Issuance Notice Date</w:t>
      </w:r>
      <w:r>
        <w:rPr>
          <w:rFonts w:ascii="Times New Roman;Times;Serif" w:hAnsi="Times New Roman;Times;Serif"/>
          <w:b w:val="false"/>
          <w:i w:val="false"/>
          <w:caps w:val="false"/>
          <w:smallCaps w:val="false"/>
          <w:sz w:val="20"/>
        </w:rPr>
        <w:t>. The applicable Agent’s obligation to use its commercially reasonable efforts to place Placement ADSs hereunder shall additionally be conditioned upon the delivery to such Agent on or before the Issuance Notice Date of a certificate in form and substance reasonably satisfactory to such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No Agent shall have advised the Company that the Registration Statement or the Prospectus, or any amendment or supplement thereto, contains an untrue statement of fact that in such Agent’s reasonable opinion is material, or omits to state a fact that in such Agent’s reasonable opinion is material and is required to be stated therein or is necessary to make the statements therein not misleading.</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INDEMNIFICATION AND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of the Agents</w:t>
      </w:r>
      <w:r>
        <w:rPr>
          <w:rFonts w:ascii="Times New Roman;Times;Serif" w:hAnsi="Times New Roman;Times;Serif"/>
          <w:b w:val="false"/>
          <w:i w:val="false"/>
          <w:caps w:val="false"/>
          <w:smallCaps w:val="false"/>
          <w:sz w:val="20"/>
        </w:rPr>
        <w:t>. The Company agrees to indemnify and hold harmless the Agents, their respective affiliates, directors, officers and employees, and each person, if any, who controls any Agent within the meaning of the Securities Act or the Exchange Act (collectively, the “</w:t>
      </w:r>
      <w:r>
        <w:rPr>
          <w:rFonts w:ascii="Times New Roman;Times;Serif" w:hAnsi="Times New Roman;Times;Serif"/>
          <w:b/>
          <w:i w:val="false"/>
          <w:caps w:val="false"/>
          <w:smallCaps w:val="false"/>
          <w:sz w:val="20"/>
        </w:rPr>
        <w:t>Agent Indemnitees</w:t>
      </w:r>
      <w:r>
        <w:rPr>
          <w:rFonts w:ascii="Times New Roman;Times;Serif" w:hAnsi="Times New Roman;Times;Serif"/>
          <w:b w:val="false"/>
          <w:i w:val="false"/>
          <w:caps w:val="false"/>
          <w:smallCaps w:val="false"/>
          <w:sz w:val="20"/>
        </w:rPr>
        <w:t>”) against any loss, claim, damage, liability or expense, to which any Agent or such officer, employee or controlling person may become subject, under the Securities Act, the Exchange Act, other federal or state statutory law or regulation, or the laws or regulations of foreign jurisdictions where Placement ADSs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(iii) any act or failure to act or any alleged act or failure to act by any Agent in connection with, or relating in any manner to, the Placement ADSs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such Agent through its bad faith or willful misconduct, and to reimburse each Agent and each such officer, employee and controlling person for any and all documented expenses (including the documented fees and disbursements of counsel chosen by the Agents) as such expenses are reasonably incurred by such Agent or such officer, employee or controlling person in connection with investigating, defending, settling, compromising or paying any such loss, claim, damage, liability, expense or action; or (iv) in any of the CSRC Filings relating to or in connection with sales of Placement ADSs or any amendments or supplements thereto (whether or not approved by the Agents or any of them) containing any untrue, incorrect or inaccurate or alleged untrue, incorrect or inaccurate statement of fact, or omitting or being alleged to have omitted a fact necessary to make any statement therein, in the light of the circumstances under which it was made, not misleading, or not containing, or being alleged not to contain, all information in the context of sales of Placement ADSs or otherwise required to be contained thereto or being or alleged to be defamatory of any person or any jurisdiction, in each case and reimburse each such Agent Indemnitees for any legal or other out-of-pocket expenses incurred by such person in connection with investigating or defending against any such loss, claim, damage or liability, action or proceeding or in responding to a subpoena or governmental or regulatory inquiry related to the sale of Placement ADSs, whether or not such foregoing person is a party to any action or proceeding;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set forth in the first two sentences of the second to last paragraph of the “Plan of Distribution” section in the Prospectus (the “</w:t>
      </w:r>
      <w:r>
        <w:rPr>
          <w:rFonts w:ascii="Times New Roman;Times;Serif" w:hAnsi="Times New Roman;Times;Serif"/>
          <w:b/>
          <w:i w:val="false"/>
          <w:caps w:val="false"/>
          <w:smallCaps w:val="false"/>
          <w:sz w:val="20"/>
        </w:rPr>
        <w:t>Agent Information</w:t>
      </w:r>
      <w:r>
        <w:rPr>
          <w:rFonts w:ascii="Times New Roman;Times;Serif" w:hAnsi="Times New Roman;Times;Serif"/>
          <w:b w:val="false"/>
          <w:i w:val="false"/>
          <w:caps w:val="false"/>
          <w:smallCaps w:val="false"/>
          <w:sz w:val="20"/>
        </w:rPr>
        <w:t xml:space="preserve">”). The indemnity agreement set forth in this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shall be in addition to any liabilities that the Company may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Each Agent agrees, severally and not jointly, to indemnify and hold harmless the Company, each of its directors, each of its officers who signed the Registration Statement and each person, if any, who controls the Company within the meaning of the Securities Act or the Exchange Act (collectively, the “</w:t>
      </w:r>
      <w:r>
        <w:rPr>
          <w:rFonts w:ascii="Times New Roman;Times;Serif" w:hAnsi="Times New Roman;Times;Serif"/>
          <w:b/>
          <w:i w:val="false"/>
          <w:caps w:val="false"/>
          <w:smallCaps w:val="false"/>
          <w:sz w:val="20"/>
        </w:rPr>
        <w:t>Company Indemnitees</w:t>
      </w:r>
      <w:r>
        <w:rPr>
          <w:rFonts w:ascii="Times New Roman;Times;Serif" w:hAnsi="Times New Roman;Times;Serif"/>
          <w:b w:val="false"/>
          <w:i w:val="false"/>
          <w:caps w:val="false"/>
          <w:smallCaps w:val="false"/>
          <w:sz w:val="20"/>
        </w:rPr>
        <w:t>”) against any loss, claim, damage, liability or expense, to which the Company or any such director, officer or controlling person may become subject, under the Securities Act, the Exchange Act, or other federal or state statutory law or regulation, or the laws or regulations of foreign jurisdictions where Placement ADSs have been offered or sold or at common law or otherwise (including in settlement of any litigation if such settlement is effected with the written consent of such Agent),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documented expenses (including the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furnished by such Agent expressly for use in the Registration Statement, any such Free Writing Prospectus or the Prospectus (or any amendment or supplement thereto). The indemnity agreement set forth in this Section 6(b) shall be in addition to any liabilities that such Agent may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xml:space="preserve">. Promptly after receipt by an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notice of the commencement of any action, such indemnified party will, if a claim in respect thereof is to be made against an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Times;Serif" w:hAnsi="Times New Roman;Times;Serif"/>
          <w:b w:val="false"/>
          <w:i w:val="false"/>
          <w:caps w:val="false"/>
          <w:smallCaps w:val="false"/>
          <w:sz w:val="20"/>
          <w:u w:val="single"/>
        </w:rPr>
        <w:t>Section 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6(b) </w:t>
      </w:r>
      <w:r>
        <w:rPr>
          <w:rFonts w:ascii="Times New Roman;Times;Serif" w:hAnsi="Times New Roman;Times;Serif"/>
          <w:b w:val="false"/>
          <w:i w:val="false"/>
          <w:caps w:val="false"/>
          <w:smallCaps w:val="false"/>
          <w:sz w:val="20"/>
        </w:rPr>
        <w:t>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xml:space="preserve">. The indemnifying party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If the indemnification provided for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a result of any losses, claims, damages, liabilities or expenses referred to therein (i) in such proportion as is appropriate to reflect the relative benefits received by the Company, on the one hand, and each applicable Agent, on the other hand, from the offering of the Placement ADSs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each applicable Agent, on the other hand, in connection with the statements or omissions which resulted in such losses, claims, damages, liabilities or expenses, as well as any other relevant equitable considerations. The relative benefits received by the Company, on the one hand, and each applicable Agent, on the other hand, in connection with the offering of the Placement ADSs pursuant to this Agreement shall be deemed to be in the same respective proportions as the total gross proceeds from the offering of the Placement ADSs (before deducting expenses) received by the Company bear to the total commissions received by such Agent. The relative fault of the Company, on the one hand, and each applicable Agent, on the other hand, shall be determined by reference to, among other things, whether any such untrue or alleged untrue statement of a material fact or omission or alleged omission to state a material fact relates to information supplied by the Company, on the one hand, or such Agent, on the other hand,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amount paid or payable by a party as a result of the losses, claims, damages, liabilities and expenses referred to above shall be deemed to include, subject to the limitations set forth in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additional notice shall be required with respect to any action for which notice has been given under Section 6(c) for purposes of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the Agents agree that it would not be just and equitable if contribution pursuant to this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Section 6(e).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this Section 6(e), no Agent shall be required to contribute any amount in excess of the agent fees received by such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each Agent Indemnitee (other than the Agents) shall have the same rights to contribution as such Agent, and each Company Indemnitee shall have the same rights to contribution as the Company.</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TERMINATION AND SURVIVAL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term of this Agreement shall continue from the date of this Agreement until terminated by a party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Survival Following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Agreement may be terminated for any reason, at any time, by either the Company or an Agent, as to itself, upon providing two (2) Trading Days’ prior written notice to the other parties hereto; provided that, (A) this Agreement and the obligations hereunder will remain in full force and effect with respect to the Agents that have not so terminated their obligations, (B) if the Company terminates this Agreement after an Agent confirms to the Company any sale of Placement ADSs, the Company shall remain obligated to comply with </w:t>
      </w:r>
      <w:r>
        <w:rPr>
          <w:rFonts w:ascii="Times New Roman;Times;Serif" w:hAnsi="Times New Roman;Times;Serif"/>
          <w:b w:val="false"/>
          <w:i w:val="false"/>
          <w:caps w:val="false"/>
          <w:smallCaps w:val="false"/>
          <w:sz w:val="20"/>
          <w:u w:val="single"/>
        </w:rPr>
        <w:t>Section 3(b)(v)</w:t>
      </w:r>
      <w:r>
        <w:rPr>
          <w:rFonts w:ascii="Times New Roman;Times;Serif" w:hAnsi="Times New Roman;Times;Serif"/>
          <w:b w:val="false"/>
          <w:i w:val="false"/>
          <w:caps w:val="false"/>
          <w:smallCaps w:val="false"/>
          <w:sz w:val="20"/>
        </w:rPr>
        <w:t xml:space="preserve"> with respect to such Placement ADSs, and (C)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survive termination of this Agreement. If termination shall occur prior to the Settlement Date for any sale of Placement ADSs, such sale shall nevertheless settle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survival provision of </w:t>
      </w:r>
      <w:r>
        <w:rPr>
          <w:rFonts w:ascii="Times New Roman;Times;Serif" w:hAnsi="Times New Roman;Times;Serif"/>
          <w:b w:val="false"/>
          <w:i w:val="false"/>
          <w:caps w:val="false"/>
          <w:smallCaps w:val="false"/>
          <w:sz w:val="20"/>
          <w:u w:val="single"/>
        </w:rPr>
        <w:t>Section 7(b)(i)</w:t>
      </w:r>
      <w:r>
        <w:rPr>
          <w:rFonts w:ascii="Times New Roman;Times;Serif" w:hAnsi="Times New Roman;Times;Serif"/>
          <w:b w:val="false"/>
          <w:i w:val="false"/>
          <w:caps w:val="false"/>
          <w:smallCaps w:val="false"/>
          <w:sz w:val="20"/>
        </w:rPr>
        <w:t>, the respective indemnities, agreements, representations, warranties and other statements of the Company, of its officers and of the Agents set forth in or made pursuant to this Agreement will remain in full force and effect, regardless of any investigation made by or on behalf of any Agent or the Company or any of its or their partners, officers or directors or any controlling person, as the case may be, and, anything herein to the contrary notwithstanding, will survive delivery of and payment for the Placement ADSs sold hereunder and any termination of this Agreement.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Press Releases and Disclosure</w:t>
      </w:r>
      <w:r>
        <w:rPr>
          <w:rFonts w:ascii="Times New Roman;Times;Serif" w:hAnsi="Times New Roman;Times;Serif"/>
          <w:b w:val="false"/>
          <w:i w:val="false"/>
          <w:caps w:val="false"/>
          <w:smallCaps w:val="false"/>
          <w:sz w:val="20"/>
        </w:rPr>
        <w:t>. The Company may issue a press release describing the material terms of the transactions contemplated hereby as soon as practicable following the date of this Agreement, and may file with the Commission a report on Form 6-K,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Section 4(a) of this Agreement, in the Company’s annual reports on Form 20-F or reports on Form 6-K filed by the Company in respect of any interim period.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(i) the transactions contemplated by this Agreement, including the determination of any fees, are arm’s-length commercial transactions between the Company and the Agents, (ii) when acting as a principal under this Agreement, each respective Agent is and has been acting solely as a principal and is not the agent or fiduciary of the Company, or its stockholders, creditors, employees or any other party, (iii) no Agent has assumed nor will assume an advisory or fiduciary responsibility in favor of the Company with respect to the transactions contemplated hereby or the process leading thereto (irrespective of whether any Agent has advised or is currently advising the Company on other matters) and no Agent has any obligation to the Company with respect to the transactions contemplated hereby except the obligations expressly set forth in this Agreement, (iv) the Agents and their respective Affiliates may be engaged in a broad range of transactions that involve interests that differ from those of the Company, and (v) no Agent has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acknowledges that the Agent’s research analysts and research departments are required to and should be independent from their respective investment banking divisions and are subject to certain regulations and internal policies, and as such, Agent’s research analysts may hold views and make statements or investment recommendations and/or publish research reports with respect to the Company or the offering that differ from the views of their respective investment banking divisions. The Company understands that each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mailed or transmitted by email or any standard form of telecommunication. Notices to the Agents shall be directed to them: Citigroup Global Markets Inc. is 388 Greenwich Street, New York, NY 10013, Attention: General Counsel, facsimile number 1-646-291-1469; Deutsche Bank AG, Hong Kong Branch is 60/F, International Commerce Centre, 1 Austin Road West, Kowloon, Hong Kong, Attention: Prospectus Department (email: Prospectus.cpdg@db.com); BTIG, LLC, 65 East 55th Street, New York, NY 10022, Attention: Equity Capital Markets (email: BTIGUSATMTrading@btig.com), with a copy which shall not constitute notice to BTIG, LLC, 350 Bush Street, 9th Floor, San Francisco, CA 94104, Attention: General Counsel and Chief Compliance Officer (Email: BTIGcompliance@btig.com, IBLegal@btig.com). Placement notices to BTIG shall be directed to Carrie Taylor (Email: ctaylor@btig.com, BTIGUSATMTrading@btig.com, BTIGcompliance@btig.com); and notices to the Company shall be directed to it at Ascentage Pharma Group Inc., located at 700 King Farm Blvd, Suite 510, Rockville, Maryland 20850, Attention: Chief Financial Officer (email: Veet.Misra@ascentage.com), with a copy to General Counsel (email: thomas.knapp@ascentage.com).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hereto may change the address for receipt of communications by giving written notice to the others in accordance with this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xml:space="preserve">. This Agreement will inure to the benefit of and be binding upon the parties hereto, and to the benefit of the employees, officers and directors and controlling persons referred to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and in each case their respective successors, and no other person will have any right or obligation hereunder. The term “successors” shall not include any purchaser of the Placement ADSs as such from an Agent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Governing Law Provisions</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hereto not located in the United States irrevocably appoints Ascentage Pharma Group Inc., located at 700 King Farm Blvd, Suite 510, Rockville, Maryland 20850 as its agent to receive service of process or other legal summons for purposes of any such suit, action or proceeding that may be instituted in any Specified Court. With respect to any legal suit, action or proceeding arising out of or based upon this Agreement or the transactions contemplated hereby (“</w:t>
      </w:r>
      <w:r>
        <w:rPr>
          <w:rFonts w:ascii="Times New Roman;Times;Serif" w:hAnsi="Times New Roman;Times;Serif"/>
          <w:b/>
          <w:i w:val="false"/>
          <w:caps w:val="false"/>
          <w:smallCaps w:val="false"/>
          <w:sz w:val="20"/>
          <w:u w:val="single"/>
        </w:rPr>
        <w:t>Related Proceedings</w:t>
      </w:r>
      <w:r>
        <w:rPr>
          <w:rFonts w:ascii="Times New Roman;Times;Serif" w:hAnsi="Times New Roman;Times;Serif"/>
          <w:b w:val="false"/>
          <w:i w:val="false"/>
          <w:caps w:val="false"/>
          <w:smallCaps w:val="false"/>
          <w:sz w:val="20"/>
        </w:rPr>
        <w:t>”), each of the Company and the Agents irrevocably waives, to the fullest extent permitted by applicable law, all immunity (whether on the basis of sovereignty or otherwise) from jurisdiction of any Cayman Islands, Hong Kong SAR, the PRC, U.S. federal or New York state court, from service of process, attachment (both before and after judgment) and execution to which it might otherwise be entitled in the Specified Courts, and, with respect to a judgment of any Specified Court (a “</w:t>
      </w:r>
      <w:r>
        <w:rPr>
          <w:rFonts w:ascii="Times New Roman;Times;Serif" w:hAnsi="Times New Roman;Times;Serif"/>
          <w:b/>
          <w:i w:val="false"/>
          <w:caps w:val="false"/>
          <w:smallCaps w:val="false"/>
          <w:sz w:val="20"/>
        </w:rPr>
        <w:t>Related Judgment</w:t>
      </w:r>
      <w:r>
        <w:rPr>
          <w:rFonts w:ascii="Times New Roman;Times;Serif" w:hAnsi="Times New Roman;Times;Serif"/>
          <w:b w:val="false"/>
          <w:i w:val="false"/>
          <w:caps w:val="false"/>
          <w:smallCaps w:val="false"/>
          <w:sz w:val="20"/>
        </w:rPr>
        <w:t>”), each of the Company and the Agents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caps/>
          <w:sz w:val="20"/>
        </w:rPr>
        <w:t>Agreement and Acknowledgment with Respect to the Exercise of Bail-in Powers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European Union Bail-in Powers</w:t>
      </w:r>
      <w:r>
        <w:rPr>
          <w:rFonts w:ascii="Times New Roman;Times;Serif" w:hAnsi="Times New Roman;Times;Serif"/>
          <w:b w:val="false"/>
          <w:i w:val="false"/>
          <w:caps w:val="false"/>
          <w:smallCaps w:val="false"/>
          <w:sz w:val="20"/>
        </w:rPr>
        <w:t>. Notwithstanding and to the exclusion of any other term of this Agreement or any other agreements, arrangements or understandings between any Agent and any other party to this Agreement, each of the other parties to this Agreement acknowledges, accepts and agrees to be bound by:</w:t>
      </w:r>
    </w:p>
    <w:p>
      <w:pPr>
        <w:pStyle w:val="TextBody"/>
        <w:bidi w:val="0"/>
        <w:spacing w:before="0" w:after="0"/>
        <w:ind w:left="864" w:right="0" w:firstLine="1440"/>
        <w:jc w:val="both"/>
        <w:rPr>
          <w:caps w:val="false"/>
          <w:smallCaps w:val="false"/>
        </w:rPr>
      </w:pPr>
      <w:r>
        <w:rPr>
          <w:caps w:val="false"/>
          <w:smallCaps w:val="false"/>
        </w:rPr>
        <w:t> </w:t>
      </w:r>
    </w:p>
    <w:p>
      <w:pPr>
        <w:pStyle w:val="TextBody"/>
        <w:bidi w:val="0"/>
        <w:spacing w:before="0" w:after="0"/>
        <w:ind w:left="864"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effect of the exercise of Bail-in Powers by the Relevant Resolution Authority in relation to any BRRD Liability of an Agent (the “Relevant BRRD Party”) to such other party under this Agreement, that (without limitation) may include and result in any of the following, or some combination thereof:</w:t>
      </w:r>
    </w:p>
    <w:p>
      <w:pPr>
        <w:pStyle w:val="TextBody"/>
        <w:bidi w:val="0"/>
        <w:spacing w:before="0" w:after="0"/>
        <w:ind w:left="3312"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90"/>
        <w:gridCol w:w="9773"/>
      </w:tblGrid>
      <w:tr>
        <w:trPr/>
        <w:tc>
          <w:tcPr>
            <w:tcW w:w="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(A)</w:t>
            </w:r>
          </w:p>
        </w:tc>
        <w:tc>
          <w:tcPr>
            <w:tcW w:w="9773" w:type="dxa"/>
            <w:tcBorders/>
            <w:vAlign w:val="center"/>
          </w:tcPr>
          <w:p>
            <w:pPr>
              <w:pStyle w:val="TableContents"/>
              <w:bidi w:val="0"/>
              <w:spacing w:before="0" w:after="283"/>
              <w:jc w:val="both"/>
              <w:rPr/>
            </w:pPr>
            <w:r>
              <w:rPr/>
              <w:t>the reduction of all, or a portion, of the BRRD Liability or outstanding amounts due thereon;</w:t>
            </w:r>
          </w:p>
        </w:tc>
      </w:tr>
    </w:tbl>
    <w:p>
      <w:pPr>
        <w:pStyle w:val="TextBody"/>
        <w:bidi w:val="0"/>
        <w:spacing w:before="0" w:after="0"/>
        <w:ind w:left="3312"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(B)</w:t>
            </w:r>
          </w:p>
        </w:tc>
        <w:tc>
          <w:tcPr>
            <w:tcW w:w="9880" w:type="dxa"/>
            <w:tcBorders/>
            <w:vAlign w:val="center"/>
          </w:tcPr>
          <w:p>
            <w:pPr>
              <w:pStyle w:val="TableContents"/>
              <w:bidi w:val="0"/>
              <w:spacing w:before="0" w:after="283"/>
              <w:jc w:val="both"/>
              <w:rPr/>
            </w:pPr>
            <w:r>
              <w:rPr/>
              <w:t>the conversion of all, or a portion, of the BRRD Liability into shares, other securities or other obligations of the Relevant BRRD Party or another person, and the issue to or conferral on such other party to this Agreement of such shares, securities or obligations;</w:t>
            </w:r>
          </w:p>
        </w:tc>
      </w:tr>
    </w:tbl>
    <w:p>
      <w:pPr>
        <w:pStyle w:val="TextBody"/>
        <w:bidi w:val="0"/>
        <w:spacing w:before="0" w:after="0"/>
        <w:ind w:left="3312"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80"/>
        <w:gridCol w:w="9337"/>
      </w:tblGrid>
      <w:tr>
        <w:trPr/>
        <w:tc>
          <w:tcPr>
            <w:tcW w:w="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(C)</w:t>
            </w:r>
          </w:p>
        </w:tc>
        <w:tc>
          <w:tcPr>
            <w:tcW w:w="9337" w:type="dxa"/>
            <w:tcBorders/>
            <w:vAlign w:val="center"/>
          </w:tcPr>
          <w:p>
            <w:pPr>
              <w:pStyle w:val="TableContents"/>
              <w:bidi w:val="0"/>
              <w:spacing w:before="0" w:after="283"/>
              <w:jc w:val="both"/>
              <w:rPr/>
            </w:pPr>
            <w:r>
              <w:rPr/>
              <w:t>the cancellation of the BRRD Liability; or</w:t>
            </w:r>
          </w:p>
        </w:tc>
      </w:tr>
    </w:tbl>
    <w:p>
      <w:pPr>
        <w:pStyle w:val="TextBody"/>
        <w:bidi w:val="0"/>
        <w:spacing w:before="0" w:after="0"/>
        <w:ind w:left="3312"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(D)</w:t>
            </w:r>
          </w:p>
        </w:tc>
        <w:tc>
          <w:tcPr>
            <w:tcW w:w="9854" w:type="dxa"/>
            <w:tcBorders/>
            <w:vAlign w:val="center"/>
          </w:tcPr>
          <w:p>
            <w:pPr>
              <w:pStyle w:val="TableContents"/>
              <w:bidi w:val="0"/>
              <w:spacing w:before="0" w:after="283"/>
              <w:jc w:val="both"/>
              <w:rPr/>
            </w:pPr>
            <w:r>
              <w:rPr/>
              <w:t>the amendment or alteration of any interest, if applicable, thereon, the maturity or the dates on which any payments are due, including by suspending payment for a temporary period; and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variation of the terms of this Agreement, as deemed necessary by the Relevant Resolution Authority, to give effect to the exercise of Bail-in Powers by the Relevant Resolution Authority.</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Bail-in Powers</w:t>
      </w:r>
      <w:r>
        <w:rPr>
          <w:rFonts w:ascii="Times New Roman;Times;Serif" w:hAnsi="Times New Roman;Times;Serif"/>
          <w:b w:val="false"/>
          <w:i w:val="false"/>
          <w:caps w:val="false"/>
          <w:smallCaps w:val="false"/>
          <w:sz w:val="20"/>
        </w:rPr>
        <w:t>” means any Write-down and Conversion Powers as defined in the EU Bail-in Legislation Schedule, in relation to the relevant Bail-in Legislation;</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BRRD</w:t>
      </w:r>
      <w:r>
        <w:rPr>
          <w:rFonts w:ascii="Times New Roman;Times;Serif" w:hAnsi="Times New Roman;Times;Serif"/>
          <w:b w:val="false"/>
          <w:i w:val="false"/>
          <w:caps w:val="false"/>
          <w:smallCaps w:val="false"/>
          <w:sz w:val="20"/>
        </w:rPr>
        <w:t>” means Directive 2014/59/EU establishing a framework for the recovery and resolution of credit institutions and investment firms;</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BRRD Liability</w:t>
      </w:r>
      <w:r>
        <w:rPr>
          <w:rFonts w:ascii="Times New Roman;Times;Serif" w:hAnsi="Times New Roman;Times;Serif"/>
          <w:b w:val="false"/>
          <w:i w:val="false"/>
          <w:caps w:val="false"/>
          <w:smallCaps w:val="false"/>
          <w:sz w:val="20"/>
        </w:rPr>
        <w:t>” means a liability in respect of which the relevant Write Down and Conversion Powers in the applicable Bail-in Legislation may be exercised;</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document described as such, then in effect, and published by the Loan Market Association (or any successor person) from time to time at https://www.lma.eu.com/application/files/9616/1537/4785/EU_BAIL-IN_Legislation_Schedule.pdf; and</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Relevant Resolution Authority</w:t>
      </w:r>
      <w:r>
        <w:rPr>
          <w:rFonts w:ascii="Times New Roman;Times;Serif" w:hAnsi="Times New Roman;Times;Serif"/>
          <w:b w:val="false"/>
          <w:i w:val="false"/>
          <w:caps w:val="false"/>
          <w:smallCaps w:val="false"/>
          <w:sz w:val="20"/>
        </w:rPr>
        <w:t>” means the resolution authority with the ability to exercise any Bail-in Powers in relation to the Relevant BRRD Party.</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i w:val="false"/>
          <w:caps/>
          <w:sz w:val="20"/>
        </w:rPr>
        <w:t>MiFID II Product Governance</w:t>
      </w:r>
      <w:r>
        <w:rPr>
          <w:rFonts w:ascii="Times New Roman;Times;Serif" w:hAnsi="Times New Roman;Times;Serif"/>
          <w:b/>
          <w:i w:val="false"/>
          <w:caps w:val="false"/>
          <w:smallCaps w:val="false"/>
          <w:sz w:val="20"/>
        </w:rPr>
        <w:t>.</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purposes of the requirements of Article 9(8) of the MiFID Product Governance rules under EU Delegated Directive 2017/593 (the “</w:t>
      </w:r>
      <w:r>
        <w:rPr>
          <w:rFonts w:ascii="Times New Roman;Times;Serif" w:hAnsi="Times New Roman;Times;Serif"/>
          <w:b/>
          <w:i w:val="false"/>
          <w:caps w:val="false"/>
          <w:smallCaps w:val="false"/>
          <w:sz w:val="20"/>
        </w:rPr>
        <w:t>Product Governance Rules</w:t>
      </w:r>
      <w:r>
        <w:rPr>
          <w:rFonts w:ascii="Times New Roman;Times;Serif" w:hAnsi="Times New Roman;Times;Serif"/>
          <w:b w:val="false"/>
          <w:i w:val="false"/>
          <w:caps w:val="false"/>
          <w:smallCaps w:val="false"/>
          <w:sz w:val="20"/>
        </w:rPr>
        <w:t>”) regarding the mutual responsibilities of manufacturers under the Product Governance Rules:</w:t>
      </w:r>
    </w:p>
    <w:p>
      <w:pPr>
        <w:pStyle w:val="TextBody"/>
        <w:bidi w:val="0"/>
        <w:spacing w:before="0" w:after="0"/>
        <w:ind w:left="1149" w:right="0" w:hanging="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left"/>
              <w:rPr/>
            </w:pPr>
            <w:r>
              <w:rPr/>
              <w:t>Deutsche Bank (the “</w:t>
            </w:r>
            <w:r>
              <w:rPr>
                <w:b/>
              </w:rPr>
              <w:t>Manufacturer</w:t>
            </w:r>
            <w:r>
              <w:rPr/>
              <w:t>”) acknowledges that it understands the responsibilities conferred upon it under the Product Governance Rules relating to each of the product approval process, the target market and the proposed distribution channels as applying to the Placement ADSs and the related information set out in any announcements in connection with the Placement ADSs; and</w:t>
            </w:r>
          </w:p>
        </w:tc>
      </w:tr>
    </w:tbl>
    <w:p>
      <w:pPr>
        <w:pStyle w:val="TextBody"/>
        <w:bidi w:val="0"/>
        <w:spacing w:before="0" w:after="0"/>
        <w:ind w:left="1149" w:right="0" w:hanging="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the other parties to this Agreement (other than Deutsche Bank) note the application of the Product Governance Rules and acknowledge the target market and distribution channels identified as applying to the Placement ADSs by the Manufacturer and the related information set out in any announcements in connection with the Placement ADSs.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Immediately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889"/>
        <w:gridCol w:w="4920"/>
        <w:gridCol w:w="75"/>
      </w:tblGrid>
      <w:tr>
        <w:trPr/>
        <w:tc>
          <w:tcPr>
            <w:tcW w:w="5809" w:type="dxa"/>
            <w:gridSpan w:val="2"/>
            <w:tcBorders/>
            <w:vAlign w:val="center"/>
          </w:tcPr>
          <w:p>
            <w:pPr>
              <w:pStyle w:val="TableContents"/>
              <w:bidi w:val="0"/>
              <w:spacing w:before="0" w:after="283"/>
              <w:jc w:val="left"/>
              <w:rPr/>
            </w:pPr>
            <w:r>
              <w:rPr/>
              <w:t>Very truly yours,</w:t>
            </w:r>
          </w:p>
        </w:tc>
        <w:tc>
          <w:tcPr>
            <w:tcW w:w="75" w:type="dxa"/>
            <w:tcBorders/>
            <w:vAlign w:val="center"/>
          </w:tcPr>
          <w:p>
            <w:pPr>
              <w:pStyle w:val="TableContents"/>
              <w:bidi w:val="0"/>
              <w:spacing w:before="0" w:after="283"/>
              <w:jc w:val="left"/>
              <w:rPr/>
            </w:pPr>
            <w:r>
              <w:rPr/>
              <w:t> </w:t>
            </w:r>
          </w:p>
        </w:tc>
      </w:tr>
      <w:tr>
        <w:trPr/>
        <w:tc>
          <w:tcPr>
            <w:tcW w:w="58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809" w:type="dxa"/>
            <w:gridSpan w:val="2"/>
            <w:tcBorders/>
            <w:vAlign w:val="center"/>
          </w:tcPr>
          <w:p>
            <w:pPr>
              <w:pStyle w:val="TableContents"/>
              <w:bidi w:val="0"/>
              <w:spacing w:before="0" w:after="283"/>
              <w:jc w:val="left"/>
              <w:rPr>
                <w:b/>
              </w:rPr>
            </w:pPr>
            <w:r>
              <w:rPr>
                <w:b/>
              </w:rPr>
              <w:t>ASCENTAGE PHARMA GROUP INTERNATIONAL</w:t>
            </w:r>
          </w:p>
        </w:tc>
        <w:tc>
          <w:tcPr>
            <w:tcW w:w="75" w:type="dxa"/>
            <w:tcBorders/>
            <w:vAlign w:val="center"/>
          </w:tcPr>
          <w:p>
            <w:pPr>
              <w:pStyle w:val="TableContents"/>
              <w:bidi w:val="0"/>
              <w:spacing w:before="0" w:after="283"/>
              <w:jc w:val="left"/>
              <w:rPr/>
            </w:pPr>
            <w:r>
              <w:rPr/>
              <w:t> </w:t>
            </w:r>
          </w:p>
        </w:tc>
      </w:tr>
      <w:tr>
        <w:trPr/>
        <w:tc>
          <w:tcPr>
            <w:tcW w:w="58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9" w:type="dxa"/>
            <w:tcBorders/>
            <w:vAlign w:val="center"/>
          </w:tcPr>
          <w:p>
            <w:pPr>
              <w:pStyle w:val="TableContents"/>
              <w:bidi w:val="0"/>
              <w:spacing w:before="0" w:after="283"/>
              <w:jc w:val="left"/>
              <w:rPr/>
            </w:pPr>
            <w:r>
              <w:rPr/>
              <w:t>By:</w:t>
            </w:r>
          </w:p>
        </w:tc>
        <w:tc>
          <w:tcPr>
            <w:tcW w:w="4920" w:type="dxa"/>
            <w:tcBorders>
              <w:bottom w:val="single" w:sz="12" w:space="0" w:color="000000"/>
            </w:tcBorders>
            <w:tcMar>
              <w:bottom w:w="28" w:type="dxa"/>
            </w:tcMar>
            <w:vAlign w:val="center"/>
          </w:tcPr>
          <w:p>
            <w:pPr>
              <w:pStyle w:val="TableContents"/>
              <w:bidi w:val="0"/>
              <w:spacing w:before="0" w:after="283"/>
              <w:jc w:val="left"/>
              <w:rPr/>
            </w:pPr>
            <w:r>
              <w:rPr/>
              <w:t>/s/ Dajun Yang</w:t>
            </w:r>
          </w:p>
        </w:tc>
        <w:tc>
          <w:tcPr>
            <w:tcW w:w="75" w:type="dxa"/>
            <w:tcBorders/>
            <w:vAlign w:val="center"/>
          </w:tcPr>
          <w:p>
            <w:pPr>
              <w:pStyle w:val="TableContents"/>
              <w:bidi w:val="0"/>
              <w:spacing w:before="0" w:after="283"/>
              <w:jc w:val="left"/>
              <w:rPr/>
            </w:pPr>
            <w:r>
              <w:rPr/>
              <w:t> </w:t>
            </w:r>
          </w:p>
        </w:tc>
      </w:tr>
      <w:tr>
        <w:trPr/>
        <w:tc>
          <w:tcPr>
            <w:tcW w:w="889" w:type="dxa"/>
            <w:tcBorders/>
            <w:vAlign w:val="center"/>
          </w:tcPr>
          <w:p>
            <w:pPr>
              <w:pStyle w:val="TableContents"/>
              <w:bidi w:val="0"/>
              <w:spacing w:before="0" w:after="283"/>
              <w:jc w:val="left"/>
              <w:rPr/>
            </w:pPr>
            <w:r>
              <w:rPr/>
              <w:t>Name:</w:t>
            </w:r>
          </w:p>
        </w:tc>
        <w:tc>
          <w:tcPr>
            <w:tcW w:w="4920" w:type="dxa"/>
            <w:tcBorders/>
            <w:vAlign w:val="center"/>
          </w:tcPr>
          <w:p>
            <w:pPr>
              <w:pStyle w:val="TableContents"/>
              <w:bidi w:val="0"/>
              <w:spacing w:before="0" w:after="283"/>
              <w:jc w:val="left"/>
              <w:rPr/>
            </w:pPr>
            <w:r>
              <w:rPr/>
              <w:t>Dajun Yang, MD., PHD</w:t>
            </w:r>
          </w:p>
        </w:tc>
        <w:tc>
          <w:tcPr>
            <w:tcW w:w="75" w:type="dxa"/>
            <w:tcBorders/>
            <w:vAlign w:val="center"/>
          </w:tcPr>
          <w:p>
            <w:pPr>
              <w:pStyle w:val="TableContents"/>
              <w:bidi w:val="0"/>
              <w:spacing w:before="0" w:after="283"/>
              <w:jc w:val="left"/>
              <w:rPr/>
            </w:pPr>
            <w:r>
              <w:rPr/>
              <w:t> </w:t>
            </w:r>
          </w:p>
        </w:tc>
      </w:tr>
      <w:tr>
        <w:trPr/>
        <w:tc>
          <w:tcPr>
            <w:tcW w:w="889" w:type="dxa"/>
            <w:tcBorders/>
            <w:vAlign w:val="center"/>
          </w:tcPr>
          <w:p>
            <w:pPr>
              <w:pStyle w:val="TableContents"/>
              <w:bidi w:val="0"/>
              <w:spacing w:before="0" w:after="283"/>
              <w:jc w:val="left"/>
              <w:rPr/>
            </w:pPr>
            <w:r>
              <w:rPr/>
              <w:t>Title:</w:t>
            </w:r>
          </w:p>
        </w:tc>
        <w:tc>
          <w:tcPr>
            <w:tcW w:w="4920" w:type="dxa"/>
            <w:tcBorders/>
            <w:vAlign w:val="center"/>
          </w:tcPr>
          <w:p>
            <w:pPr>
              <w:pStyle w:val="TableContents"/>
              <w:bidi w:val="0"/>
              <w:spacing w:before="0" w:after="283"/>
              <w:jc w:val="left"/>
              <w:rPr/>
            </w:pPr>
            <w:r>
              <w:rPr/>
              <w:t>Chairman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by each Agent in New York, New York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2364"/>
        <w:gridCol w:w="5935"/>
        <w:gridCol w:w="75"/>
      </w:tblGrid>
      <w:tr>
        <w:trPr/>
        <w:tc>
          <w:tcPr>
            <w:tcW w:w="8299" w:type="dxa"/>
            <w:gridSpan w:val="2"/>
            <w:tcBorders/>
            <w:vAlign w:val="center"/>
          </w:tcPr>
          <w:p>
            <w:pPr>
              <w:pStyle w:val="TableContents"/>
              <w:bidi w:val="0"/>
              <w:spacing w:before="0" w:after="283"/>
              <w:jc w:val="left"/>
              <w:rPr>
                <w:b/>
              </w:rPr>
            </w:pPr>
            <w:r>
              <w:rPr>
                <w:b/>
              </w:rPr>
              <w:t>CITIGROUP GLOBAL MARKETS INC.</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By:</w:t>
            </w:r>
          </w:p>
        </w:tc>
        <w:tc>
          <w:tcPr>
            <w:tcW w:w="5935" w:type="dxa"/>
            <w:tcBorders>
              <w:bottom w:val="single" w:sz="12" w:space="0" w:color="000000"/>
            </w:tcBorders>
            <w:tcMar>
              <w:bottom w:w="28" w:type="dxa"/>
            </w:tcMar>
            <w:vAlign w:val="center"/>
          </w:tcPr>
          <w:p>
            <w:pPr>
              <w:pStyle w:val="TableContents"/>
              <w:bidi w:val="0"/>
              <w:spacing w:before="0" w:after="283"/>
              <w:jc w:val="left"/>
              <w:rPr/>
            </w:pPr>
            <w:r>
              <w:rPr/>
              <w:t>/s/ John Whittaker</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Name:</w:t>
            </w:r>
          </w:p>
        </w:tc>
        <w:tc>
          <w:tcPr>
            <w:tcW w:w="5935" w:type="dxa"/>
            <w:tcBorders/>
            <w:vAlign w:val="center"/>
          </w:tcPr>
          <w:p>
            <w:pPr>
              <w:pStyle w:val="TableContents"/>
              <w:bidi w:val="0"/>
              <w:spacing w:before="0" w:after="283"/>
              <w:jc w:val="left"/>
              <w:rPr/>
            </w:pPr>
            <w:r>
              <w:rPr/>
              <w:t>John Whittaker</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Title:</w:t>
            </w:r>
          </w:p>
        </w:tc>
        <w:tc>
          <w:tcPr>
            <w:tcW w:w="5935"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b/>
              </w:rPr>
            </w:pPr>
            <w:r>
              <w:rPr>
                <w:b/>
              </w:rPr>
              <w:t>DEUTSCHE BANK AG, HONG KONG BRANCH</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w:t>
            </w:r>
            <w:r>
              <w:rPr>
                <w:i/>
              </w:rPr>
              <w:t>Incorporated in the Federal Republic of Germany and its members’ liability is limited</w:t>
            </w:r>
            <w:r>
              <w:rPr/>
              <w:t>)</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By:</w:t>
            </w:r>
          </w:p>
        </w:tc>
        <w:tc>
          <w:tcPr>
            <w:tcW w:w="5935" w:type="dxa"/>
            <w:tcBorders>
              <w:bottom w:val="single" w:sz="12" w:space="0" w:color="000000"/>
            </w:tcBorders>
            <w:tcMar>
              <w:bottom w:w="28" w:type="dxa"/>
            </w:tcMar>
            <w:vAlign w:val="center"/>
          </w:tcPr>
          <w:p>
            <w:pPr>
              <w:pStyle w:val="TableContents"/>
              <w:bidi w:val="0"/>
              <w:spacing w:before="0" w:after="283"/>
              <w:jc w:val="left"/>
              <w:rPr/>
            </w:pPr>
            <w:r>
              <w:rPr/>
              <w:t>/s/ Rui Wang</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Name:</w:t>
            </w:r>
          </w:p>
        </w:tc>
        <w:tc>
          <w:tcPr>
            <w:tcW w:w="5935" w:type="dxa"/>
            <w:tcBorders/>
            <w:vAlign w:val="center"/>
          </w:tcPr>
          <w:p>
            <w:pPr>
              <w:pStyle w:val="TableContents"/>
              <w:bidi w:val="0"/>
              <w:spacing w:before="0" w:after="283"/>
              <w:jc w:val="left"/>
              <w:rPr/>
            </w:pPr>
            <w:r>
              <w:rPr/>
              <w:t>Rui Wang</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Title:</w:t>
            </w:r>
          </w:p>
        </w:tc>
        <w:tc>
          <w:tcPr>
            <w:tcW w:w="5935"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By:</w:t>
            </w:r>
          </w:p>
        </w:tc>
        <w:tc>
          <w:tcPr>
            <w:tcW w:w="5935" w:type="dxa"/>
            <w:tcBorders>
              <w:bottom w:val="single" w:sz="12" w:space="0" w:color="000000"/>
            </w:tcBorders>
            <w:tcMar>
              <w:bottom w:w="28" w:type="dxa"/>
            </w:tcMar>
            <w:vAlign w:val="center"/>
          </w:tcPr>
          <w:p>
            <w:pPr>
              <w:pStyle w:val="TableContents"/>
              <w:bidi w:val="0"/>
              <w:spacing w:before="0" w:after="283"/>
              <w:jc w:val="left"/>
              <w:rPr/>
            </w:pPr>
            <w:r>
              <w:rPr/>
              <w:t>/s/ Albert Chang</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Name:</w:t>
            </w:r>
          </w:p>
        </w:tc>
        <w:tc>
          <w:tcPr>
            <w:tcW w:w="5935" w:type="dxa"/>
            <w:tcBorders/>
            <w:vAlign w:val="center"/>
          </w:tcPr>
          <w:p>
            <w:pPr>
              <w:pStyle w:val="TableContents"/>
              <w:bidi w:val="0"/>
              <w:spacing w:before="0" w:after="283"/>
              <w:jc w:val="left"/>
              <w:rPr/>
            </w:pPr>
            <w:r>
              <w:rPr/>
              <w:t>Albert Chang</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Title:</w:t>
            </w:r>
          </w:p>
        </w:tc>
        <w:tc>
          <w:tcPr>
            <w:tcW w:w="5935"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b/>
              </w:rPr>
            </w:pPr>
            <w:r>
              <w:rPr>
                <w:b/>
              </w:rPr>
              <w:t>BTIG, LLC</w:t>
            </w:r>
          </w:p>
        </w:tc>
        <w:tc>
          <w:tcPr>
            <w:tcW w:w="75" w:type="dxa"/>
            <w:tcBorders/>
            <w:vAlign w:val="center"/>
          </w:tcPr>
          <w:p>
            <w:pPr>
              <w:pStyle w:val="TableContents"/>
              <w:bidi w:val="0"/>
              <w:spacing w:before="0" w:after="283"/>
              <w:jc w:val="left"/>
              <w:rPr/>
            </w:pPr>
            <w:r>
              <w:rPr/>
              <w:t> </w:t>
            </w:r>
          </w:p>
        </w:tc>
      </w:tr>
      <w:tr>
        <w:trPr/>
        <w:tc>
          <w:tcPr>
            <w:tcW w:w="82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By:</w:t>
            </w:r>
          </w:p>
        </w:tc>
        <w:tc>
          <w:tcPr>
            <w:tcW w:w="5935" w:type="dxa"/>
            <w:tcBorders>
              <w:bottom w:val="single" w:sz="12" w:space="0" w:color="000000"/>
            </w:tcBorders>
            <w:tcMar>
              <w:bottom w:w="28" w:type="dxa"/>
            </w:tcMar>
            <w:vAlign w:val="center"/>
          </w:tcPr>
          <w:p>
            <w:pPr>
              <w:pStyle w:val="TableContents"/>
              <w:bidi w:val="0"/>
              <w:spacing w:before="0" w:after="283"/>
              <w:jc w:val="left"/>
              <w:rPr/>
            </w:pPr>
            <w:r>
              <w:rPr/>
              <w:t>/s/ Bob Dentice</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Name: </w:t>
            </w:r>
          </w:p>
        </w:tc>
        <w:tc>
          <w:tcPr>
            <w:tcW w:w="5935" w:type="dxa"/>
            <w:tcBorders/>
            <w:vAlign w:val="center"/>
          </w:tcPr>
          <w:p>
            <w:pPr>
              <w:pStyle w:val="TableContents"/>
              <w:bidi w:val="0"/>
              <w:spacing w:before="0" w:after="283"/>
              <w:jc w:val="left"/>
              <w:rPr/>
            </w:pPr>
            <w:r>
              <w:rPr/>
              <w:t>Bob Dentice</w:t>
            </w:r>
          </w:p>
        </w:tc>
        <w:tc>
          <w:tcPr>
            <w:tcW w:w="75" w:type="dxa"/>
            <w:tcBorders/>
            <w:vAlign w:val="center"/>
          </w:tcPr>
          <w:p>
            <w:pPr>
              <w:pStyle w:val="TableContents"/>
              <w:bidi w:val="0"/>
              <w:spacing w:before="0" w:after="283"/>
              <w:jc w:val="left"/>
              <w:rPr/>
            </w:pPr>
            <w:r>
              <w:rPr/>
              <w:t> </w:t>
            </w:r>
          </w:p>
        </w:tc>
      </w:tr>
      <w:tr>
        <w:trPr/>
        <w:tc>
          <w:tcPr>
            <w:tcW w:w="2364" w:type="dxa"/>
            <w:tcBorders/>
            <w:vAlign w:val="center"/>
          </w:tcPr>
          <w:p>
            <w:pPr>
              <w:pStyle w:val="TableContents"/>
              <w:bidi w:val="0"/>
              <w:spacing w:before="0" w:after="283"/>
              <w:jc w:val="left"/>
              <w:rPr/>
            </w:pPr>
            <w:r>
              <w:rPr/>
              <w:t>Title:</w:t>
            </w:r>
          </w:p>
        </w:tc>
        <w:tc>
          <w:tcPr>
            <w:tcW w:w="5935"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Agent]</w:t>
        <w:br/>
        <w:t>[Address of Applicable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Sales Agreement between 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Citigroup Global Markets Inc., Deutsche Bank AG, Hong Kong Branch and BTIG, LLC (each,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dated as of July 17, 2026. The Company confirms that all conditions to the delivery of this Issuance Notice are satisfied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Delivery of Issuance Notice (determined pursuant to </w:t>
      </w:r>
      <w:r>
        <w:rPr>
          <w:rFonts w:ascii="Times New Roman;Times;Serif" w:hAnsi="Times New Roman;Times;Serif"/>
          <w:b w:val="false"/>
          <w:i w:val="false"/>
          <w:caps w:val="false"/>
          <w:smallCaps w:val="false"/>
          <w:sz w:val="20"/>
          <w:u w:val="single"/>
        </w:rPr>
        <w:t>Section 3(b)(i)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Amount (equal to the total Sales Price for such Placement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days in selling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date of selling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date of selling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Date(s) if other than standard T+1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Price Limitation (in no event less than $1.00 without the prior written consent of the applicable Agent, which consent may be withheld in such Agent’s sole discretion): $ ____ per Placement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25"/>
        <w:gridCol w:w="60"/>
        <w:gridCol w:w="75"/>
      </w:tblGrid>
      <w:tr>
        <w:trPr/>
        <w:tc>
          <w:tcPr>
            <w:tcW w:w="725" w:type="dxa"/>
            <w:tcBorders/>
            <w:vAlign w:val="center"/>
          </w:tcPr>
          <w:p>
            <w:pPr>
              <w:pStyle w:val="TableContents"/>
              <w:bidi w:val="0"/>
              <w:spacing w:before="0" w:after="283"/>
              <w:jc w:val="left"/>
              <w:rPr/>
            </w:pPr>
            <w:r>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9837201ex3-1.htm"/>
      <w:bookmarkStart w:id="39" w:name="ksea029837201ex31"/>
      <w:bookmarkEnd w:id="38"/>
      <w:bookmarkEnd w:id="39"/>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亞 盛 醫 藥 集 團</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DATED MAY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47975" cy="76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
                    <a:stretch>
                      <a:fillRect/>
                    </a:stretch>
                  </pic:blipFill>
                  <pic:spPr bwMode="auto">
                    <a:xfrm>
                      <a:off x="0" y="0"/>
                      <a:ext cx="2847975" cy="7620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亞 盛 醫 藥 集 團</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DATED MAY 20, 2026)</w:t>
      </w:r>
    </w:p>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85"/>
        <w:gridCol w:w="8240"/>
      </w:tblGrid>
      <w:tr>
        <w:trPr/>
        <w:tc>
          <w:tcPr>
            <w:tcW w:w="185" w:type="dxa"/>
            <w:tcBorders/>
            <w:vAlign w:val="center"/>
          </w:tcPr>
          <w:p>
            <w:pPr>
              <w:pStyle w:val="TableContents"/>
              <w:bidi w:val="0"/>
              <w:spacing w:before="0" w:after="283"/>
              <w:jc w:val="both"/>
              <w:rPr>
                <w:sz w:val="20"/>
              </w:rPr>
            </w:pPr>
            <w:r>
              <w:rPr>
                <w:sz w:val="20"/>
              </w:rPr>
              <w:t>1.</w:t>
            </w:r>
          </w:p>
        </w:tc>
        <w:tc>
          <w:tcPr>
            <w:tcW w:w="8240" w:type="dxa"/>
            <w:tcBorders/>
            <w:vAlign w:val="center"/>
          </w:tcPr>
          <w:p>
            <w:pPr>
              <w:pStyle w:val="TableContents"/>
              <w:bidi w:val="0"/>
              <w:spacing w:before="0" w:after="283"/>
              <w:jc w:val="both"/>
              <w:rPr/>
            </w:pPr>
            <w:r>
              <w:rPr>
                <w:sz w:val="20"/>
              </w:rPr>
              <w:t xml:space="preserve">The name of the company is Ascentage Pharma Group International </w:t>
            </w:r>
            <w:r>
              <w:rPr>
                <w:rFonts w:eastAsia="Times New Roman;Times;Serif"/>
                <w:sz w:val="20"/>
              </w:rPr>
              <w:t>亞盛醫藥集團</w:t>
            </w:r>
            <w:r>
              <w:rPr>
                <w:sz w:val="20"/>
              </w:rPr>
              <w:t xml:space="preserve"> </w:t>
            </w:r>
            <w:r>
              <w:rPr>
                <w:sz w:val="20"/>
              </w:rPr>
              <w:t>(the “</w:t>
            </w:r>
            <w:r>
              <w:rPr>
                <w:b/>
                <w:sz w:val="20"/>
              </w:rPr>
              <w:t>Company</w:t>
            </w: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both"/>
              <w:rPr>
                <w:sz w:val="20"/>
              </w:rPr>
            </w:pPr>
            <w:r>
              <w:rPr>
                <w:sz w:val="20"/>
              </w:rPr>
              <w:t>2.</w:t>
            </w:r>
          </w:p>
        </w:tc>
        <w:tc>
          <w:tcPr>
            <w:tcW w:w="10044" w:type="dxa"/>
            <w:tcBorders/>
            <w:vAlign w:val="center"/>
          </w:tcPr>
          <w:p>
            <w:pPr>
              <w:pStyle w:val="TableContents"/>
              <w:bidi w:val="0"/>
              <w:spacing w:before="0" w:after="283"/>
              <w:jc w:val="both"/>
              <w:rPr>
                <w:sz w:val="20"/>
              </w:rPr>
            </w:pPr>
            <w:r>
              <w:rPr>
                <w:sz w:val="20"/>
              </w:rPr>
              <w:t>The registered office of the Company is situated at the offices of Walkers Corporate Limited, 190 Elgin Avenue, George Town, Grand Cayman KY1-9008, Cayman Islands or at such other location as the Directors may from time to time determine.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sz w:val="20"/>
              </w:rPr>
            </w:pPr>
            <w:r>
              <w:rPr>
                <w:sz w:val="20"/>
              </w:rPr>
              <w:t>3.</w:t>
            </w:r>
          </w:p>
        </w:tc>
        <w:tc>
          <w:tcPr>
            <w:tcW w:w="10055" w:type="dxa"/>
            <w:tcBorders/>
            <w:vAlign w:val="center"/>
          </w:tcPr>
          <w:p>
            <w:pPr>
              <w:pStyle w:val="TableContents"/>
              <w:bidi w:val="0"/>
              <w:spacing w:before="0" w:after="283"/>
              <w:jc w:val="both"/>
              <w:rPr>
                <w:sz w:val="20"/>
              </w:rPr>
            </w:pPr>
            <w:r>
              <w:rPr>
                <w:sz w:val="20"/>
              </w:rPr>
              <w:t>The objects for which the Company is established are unrestricted and except as prohibited or limited by the laws of the Cayman Islands, the Company shall have full power and authority to carry out any object and shall have and be capable of from time to time and at all! times exercising any and all of the powers at any time or from time to time exercisable by a natural person or body corporate in any part of the world whether as principal, agent, contractor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both"/>
              <w:rPr>
                <w:sz w:val="20"/>
              </w:rPr>
            </w:pPr>
            <w:r>
              <w:rPr>
                <w:sz w:val="20"/>
              </w:rPr>
              <w:t>4.</w:t>
            </w:r>
          </w:p>
        </w:tc>
        <w:tc>
          <w:tcPr>
            <w:tcW w:w="10024" w:type="dxa"/>
            <w:tcBorders/>
            <w:vAlign w:val="center"/>
          </w:tcPr>
          <w:p>
            <w:pPr>
              <w:pStyle w:val="TableContents"/>
              <w:bidi w:val="0"/>
              <w:spacing w:before="0" w:after="283"/>
              <w:jc w:val="both"/>
              <w:rPr>
                <w:sz w:val="20"/>
              </w:rPr>
            </w:pPr>
            <w:r>
              <w:rPr>
                <w:sz w:val="20"/>
              </w:rPr>
              <w:t>Without prejudice to the generality of the foregoing, the objects of the Company shall include, but without limitation,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both"/>
              <w:rPr>
                <w:sz w:val="20"/>
              </w:rPr>
            </w:pPr>
            <w:r>
              <w:rPr>
                <w:sz w:val="20"/>
              </w:rPr>
              <w:t>(a)</w:t>
            </w:r>
          </w:p>
        </w:tc>
        <w:tc>
          <w:tcPr>
            <w:tcW w:w="9950" w:type="dxa"/>
            <w:tcBorders/>
            <w:vAlign w:val="center"/>
          </w:tcPr>
          <w:p>
            <w:pPr>
              <w:pStyle w:val="TableContents"/>
              <w:bidi w:val="0"/>
              <w:spacing w:before="0" w:after="283"/>
              <w:jc w:val="both"/>
              <w:rPr>
                <w:sz w:val="20"/>
              </w:rPr>
            </w:pPr>
            <w:r>
              <w:rPr>
                <w:sz w:val="20"/>
              </w:rPr>
              <w:t>To carry on the business of an investment company and for that purpose to acquire and hold, either in the name of the Company or in that of any nominee, land and real estate, gold and silver bullion, shares (including shares in the Company), stocks, debentures, debenture stock, bonds, notes, obligations and securities issued or guaranteed by any company wherever incorporated or carrying on business and debentures, debenture stock, bonds, notes, obligations and securities issued or guaranteed by any government, sovereign, ruler, commissioners, public body or authority, supreme, dependent, municipal, local or otherwise in any part of the world.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both"/>
              <w:rPr>
                <w:sz w:val="20"/>
              </w:rPr>
            </w:pPr>
            <w:r>
              <w:rPr>
                <w:sz w:val="20"/>
              </w:rPr>
              <w:t>(b)</w:t>
            </w:r>
          </w:p>
        </w:tc>
        <w:tc>
          <w:tcPr>
            <w:tcW w:w="9896" w:type="dxa"/>
            <w:tcBorders/>
            <w:vAlign w:val="center"/>
          </w:tcPr>
          <w:p>
            <w:pPr>
              <w:pStyle w:val="TableContents"/>
              <w:bidi w:val="0"/>
              <w:spacing w:before="0" w:after="283"/>
              <w:jc w:val="both"/>
              <w:rPr>
                <w:sz w:val="20"/>
              </w:rPr>
            </w:pPr>
            <w:r>
              <w:rPr>
                <w:sz w:val="20"/>
              </w:rPr>
              <w:t>To lend money with or without security either at interest or without and to invest money of the Company in such manner as the Directors think 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both"/>
              <w:rPr>
                <w:sz w:val="20"/>
              </w:rPr>
            </w:pPr>
            <w:r>
              <w:rPr>
                <w:sz w:val="20"/>
              </w:rPr>
              <w:t>(c)</w:t>
            </w:r>
          </w:p>
        </w:tc>
        <w:tc>
          <w:tcPr>
            <w:tcW w:w="9912" w:type="dxa"/>
            <w:tcBorders/>
            <w:vAlign w:val="center"/>
          </w:tcPr>
          <w:p>
            <w:pPr>
              <w:pStyle w:val="TableContents"/>
              <w:bidi w:val="0"/>
              <w:spacing w:before="0" w:after="283"/>
              <w:jc w:val="both"/>
              <w:rPr>
                <w:sz w:val="20"/>
              </w:rPr>
            </w:pPr>
            <w:r>
              <w:rPr>
                <w:sz w:val="20"/>
              </w:rPr>
              <w:t>To acquire by purchase, lease, exchange, or otherwise lands, houses, buildings and other property or any interest in the same in any part of the world.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both"/>
              <w:rPr>
                <w:sz w:val="20"/>
              </w:rPr>
            </w:pPr>
            <w:r>
              <w:rPr>
                <w:sz w:val="20"/>
              </w:rPr>
              <w:t>(d)</w:t>
            </w:r>
          </w:p>
        </w:tc>
        <w:tc>
          <w:tcPr>
            <w:tcW w:w="9937" w:type="dxa"/>
            <w:tcBorders/>
            <w:vAlign w:val="center"/>
          </w:tcPr>
          <w:p>
            <w:pPr>
              <w:pStyle w:val="TableContents"/>
              <w:bidi w:val="0"/>
              <w:spacing w:before="0" w:after="283"/>
              <w:jc w:val="both"/>
              <w:rPr>
                <w:sz w:val="20"/>
              </w:rPr>
            </w:pPr>
            <w:r>
              <w:rPr>
                <w:sz w:val="20"/>
              </w:rPr>
              <w:t>To carry on the business of a commodity, commodity futures and forward contracts trader and for that purpose to enter into spot, future or forward contracts for the purchase and sale of any commodity including, but without prejudice to the generality of the foregoing, any raw materials, processed materials, agricultural products, produce or livestock, gold and silver bullion, specie and precious or semi-precious stones, goods, articles, services, currencies, rights and interests which may now or in the future be bought and sold in commerce and whether such trading is effected on an organised commodity exchange or otherwise and either to take delivery of, or to sell or exchange any such commodities pursuant to any contract capable of being entered into on any such commodities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both"/>
              <w:rPr>
                <w:sz w:val="20"/>
              </w:rPr>
            </w:pPr>
            <w:r>
              <w:rPr>
                <w:sz w:val="20"/>
              </w:rPr>
              <w:t>(e)</w:t>
            </w:r>
          </w:p>
        </w:tc>
        <w:tc>
          <w:tcPr>
            <w:tcW w:w="9943" w:type="dxa"/>
            <w:tcBorders/>
            <w:vAlign w:val="center"/>
          </w:tcPr>
          <w:p>
            <w:pPr>
              <w:pStyle w:val="TableContents"/>
              <w:bidi w:val="0"/>
              <w:spacing w:before="0" w:after="283"/>
              <w:jc w:val="both"/>
              <w:rPr>
                <w:sz w:val="20"/>
              </w:rPr>
            </w:pPr>
            <w:r>
              <w:rPr>
                <w:sz w:val="20"/>
              </w:rPr>
              <w:t>To carry on whether as principals, agents or otherwise the business of providing and supplying goods, equipment, materials and services of whatsoever nature, and of financiers, company promoters, realtors, financial agents, land owners and dealers in or managers of companies, estates, lands, buildings, goods, materials, services, stocks, leases, annuities and securities of whatsoever type or kind.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both"/>
              <w:rPr>
                <w:sz w:val="20"/>
              </w:rPr>
            </w:pPr>
            <w:r>
              <w:rPr>
                <w:sz w:val="20"/>
              </w:rPr>
              <w:t>(f)</w:t>
            </w:r>
          </w:p>
        </w:tc>
        <w:tc>
          <w:tcPr>
            <w:tcW w:w="9952" w:type="dxa"/>
            <w:tcBorders/>
            <w:vAlign w:val="center"/>
          </w:tcPr>
          <w:p>
            <w:pPr>
              <w:pStyle w:val="TableContents"/>
              <w:bidi w:val="0"/>
              <w:spacing w:before="0" w:after="283"/>
              <w:jc w:val="both"/>
              <w:rPr>
                <w:sz w:val="20"/>
              </w:rPr>
            </w:pPr>
            <w:r>
              <w:rPr>
                <w:sz w:val="20"/>
              </w:rPr>
              <w:t>To purchase or otherwise acquire and hold any rights, privileges, concessions, patents, patent rights, licences, secret processes and any real or personal property of any kind whatsoever.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both"/>
              <w:rPr>
                <w:sz w:val="20"/>
              </w:rPr>
            </w:pPr>
            <w:r>
              <w:rPr>
                <w:sz w:val="20"/>
              </w:rPr>
              <w:t>(g)</w:t>
            </w:r>
          </w:p>
        </w:tc>
        <w:tc>
          <w:tcPr>
            <w:tcW w:w="9929" w:type="dxa"/>
            <w:tcBorders/>
            <w:vAlign w:val="center"/>
          </w:tcPr>
          <w:p>
            <w:pPr>
              <w:pStyle w:val="TableContents"/>
              <w:bidi w:val="0"/>
              <w:spacing w:before="0" w:after="283"/>
              <w:jc w:val="both"/>
              <w:rPr>
                <w:sz w:val="20"/>
              </w:rPr>
            </w:pPr>
            <w:r>
              <w:rPr>
                <w:sz w:val="20"/>
              </w:rPr>
              <w:t>To build, equip, furnish, outfit, repair, purchase, own, charter and lease steam, motor, sail or other vessels, ships, boats, tugs, barges, lighters or other property to be used in the business of shipping, transportation, chartering and other communication and transport operations for the use of the Company or for others, and to sell, charter, lease, mortgage, pledge or transfer the same or any interest therein to others.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both"/>
              <w:rPr>
                <w:sz w:val="20"/>
              </w:rPr>
            </w:pPr>
            <w:r>
              <w:rPr>
                <w:sz w:val="20"/>
              </w:rPr>
              <w:t>(h)</w:t>
            </w:r>
          </w:p>
        </w:tc>
        <w:tc>
          <w:tcPr>
            <w:tcW w:w="9928" w:type="dxa"/>
            <w:tcBorders/>
            <w:vAlign w:val="center"/>
          </w:tcPr>
          <w:p>
            <w:pPr>
              <w:pStyle w:val="TableContents"/>
              <w:bidi w:val="0"/>
              <w:spacing w:before="0" w:after="283"/>
              <w:jc w:val="both"/>
              <w:rPr>
                <w:sz w:val="20"/>
              </w:rPr>
            </w:pPr>
            <w:r>
              <w:rPr>
                <w:sz w:val="20"/>
              </w:rPr>
              <w:t>To carry on the business of importers, exporters and merchants of goods, produce, stores and articles of all kinds both wholesale and retail, packers, customs brokers, ship agents, warehousemen, bonded or otherwise and carriers and to transact every kind of agency, factor and brokerage business or transaction which may seem to the Company directly or indirectly conducive to its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both"/>
              <w:rPr>
                <w:sz w:val="20"/>
              </w:rPr>
            </w:pPr>
            <w:r>
              <w:rPr>
                <w:sz w:val="20"/>
              </w:rPr>
              <w:t>(i)</w:t>
            </w:r>
          </w:p>
        </w:tc>
        <w:tc>
          <w:tcPr>
            <w:tcW w:w="9982" w:type="dxa"/>
            <w:tcBorders/>
            <w:vAlign w:val="center"/>
          </w:tcPr>
          <w:p>
            <w:pPr>
              <w:pStyle w:val="TableContents"/>
              <w:bidi w:val="0"/>
              <w:spacing w:before="0" w:after="283"/>
              <w:jc w:val="both"/>
              <w:rPr>
                <w:sz w:val="20"/>
              </w:rPr>
            </w:pPr>
            <w:r>
              <w:rPr>
                <w:sz w:val="20"/>
              </w:rPr>
              <w:t>To carry on the business of consultants in connection with all manner of services and advisers on all matters relating to companies, firms, partnerships, charities, political and non-political persons and organisations, governments, principalities, sovereign and republican states and countries and to carry on all or any of the businesses of financial, industrial, development, architectural, engineering, manufacturing, contracting, management, advertising, professional business and personal consultants and to advise upon the means and methods for extending, developing, marketing and improving all types of projects, developments, businesses or industries and all systems or processes relating to such businesses and the financing, planning, distribution, marketing and sale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sz w:val="20"/>
              </w:rPr>
            </w:pPr>
            <w:r>
              <w:rPr>
                <w:sz w:val="20"/>
              </w:rPr>
              <w:t>(j)</w:t>
            </w:r>
          </w:p>
        </w:tc>
        <w:tc>
          <w:tcPr>
            <w:tcW w:w="9975" w:type="dxa"/>
            <w:tcBorders/>
            <w:vAlign w:val="center"/>
          </w:tcPr>
          <w:p>
            <w:pPr>
              <w:pStyle w:val="TableContents"/>
              <w:bidi w:val="0"/>
              <w:spacing w:before="0" w:after="283"/>
              <w:jc w:val="both"/>
              <w:rPr>
                <w:sz w:val="20"/>
              </w:rPr>
            </w:pPr>
            <w:r>
              <w:rPr>
                <w:sz w:val="20"/>
              </w:rPr>
              <w:t>To act as a management company in all branches of that activity and without limiting the generality of the foregoing, to act as managers of investments and hotels, estates, real property, buildings and businesses of every kind and generally to carry on business as managers, consultants or agents for or representatives of owners of property of every kind, manufacturers, funds, syndicates, persons, firms and companies for any purpose whatsoever.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both"/>
              <w:rPr>
                <w:sz w:val="20"/>
              </w:rPr>
            </w:pPr>
            <w:r>
              <w:rPr>
                <w:sz w:val="20"/>
              </w:rPr>
              <w:t>(k)</w:t>
            </w:r>
          </w:p>
        </w:tc>
        <w:tc>
          <w:tcPr>
            <w:tcW w:w="9902" w:type="dxa"/>
            <w:tcBorders/>
            <w:vAlign w:val="center"/>
          </w:tcPr>
          <w:p>
            <w:pPr>
              <w:pStyle w:val="TableContents"/>
              <w:bidi w:val="0"/>
              <w:spacing w:before="0" w:after="283"/>
              <w:jc w:val="both"/>
              <w:rPr>
                <w:sz w:val="20"/>
              </w:rPr>
            </w:pPr>
            <w:r>
              <w:rPr>
                <w:sz w:val="20"/>
              </w:rPr>
              <w:t>To carry on any other trade or business which may seem to the Company capable of being carried on conveniently in connection with any business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both"/>
              <w:rPr>
                <w:sz w:val="20"/>
              </w:rPr>
            </w:pPr>
            <w:r>
              <w:rPr>
                <w:sz w:val="20"/>
              </w:rPr>
              <w:t>(l)</w:t>
            </w:r>
          </w:p>
        </w:tc>
        <w:tc>
          <w:tcPr>
            <w:tcW w:w="9938" w:type="dxa"/>
            <w:tcBorders/>
            <w:vAlign w:val="center"/>
          </w:tcPr>
          <w:p>
            <w:pPr>
              <w:pStyle w:val="TableContents"/>
              <w:bidi w:val="0"/>
              <w:spacing w:before="0" w:after="283"/>
              <w:jc w:val="both"/>
              <w:rPr>
                <w:sz w:val="20"/>
              </w:rPr>
            </w:pPr>
            <w:r>
              <w:rPr>
                <w:sz w:val="20"/>
              </w:rPr>
              <w:t>To borrow or raise money by the issue of ordinary debenture stock or on mortgage or in such other manner as the Company shall think 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both"/>
              <w:rPr>
                <w:sz w:val="20"/>
              </w:rPr>
            </w:pPr>
            <w:r>
              <w:rPr>
                <w:sz w:val="20"/>
              </w:rPr>
              <w:t>(m)</w:t>
            </w:r>
          </w:p>
        </w:tc>
        <w:tc>
          <w:tcPr>
            <w:tcW w:w="9870" w:type="dxa"/>
            <w:tcBorders/>
            <w:vAlign w:val="center"/>
          </w:tcPr>
          <w:p>
            <w:pPr>
              <w:pStyle w:val="TableContents"/>
              <w:bidi w:val="0"/>
              <w:spacing w:before="0" w:after="283"/>
              <w:jc w:val="both"/>
              <w:rPr>
                <w:sz w:val="20"/>
              </w:rPr>
            </w:pPr>
            <w:r>
              <w:rPr>
                <w:sz w:val="20"/>
              </w:rPr>
              <w:t>To draw, make, accept, endorse, discount, execute and issue all instruments both negotiable and non-negotiable and transferable including promissory notes, bills of exchange, bills of lading, warrants, debentures and bonds.</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245"/>
        <w:gridCol w:w="93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(n)</w:t>
            </w:r>
          </w:p>
        </w:tc>
        <w:tc>
          <w:tcPr>
            <w:tcW w:w="9395" w:type="dxa"/>
            <w:tcBorders/>
            <w:vAlign w:val="center"/>
          </w:tcPr>
          <w:p>
            <w:pPr>
              <w:pStyle w:val="TableContents"/>
              <w:bidi w:val="0"/>
              <w:spacing w:before="0" w:after="283"/>
              <w:jc w:val="both"/>
              <w:rPr>
                <w:sz w:val="20"/>
              </w:rPr>
            </w:pPr>
            <w:r>
              <w:rPr>
                <w:sz w:val="20"/>
              </w:rPr>
              <w:t>To establish branches or agencies in the Cayman Islands and elsewhere and to regulate and to discontinue the same.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(o)</w:t>
            </w:r>
          </w:p>
        </w:tc>
        <w:tc>
          <w:tcPr>
            <w:tcW w:w="7850" w:type="dxa"/>
            <w:tcBorders/>
            <w:vAlign w:val="center"/>
          </w:tcPr>
          <w:p>
            <w:pPr>
              <w:pStyle w:val="TableContents"/>
              <w:bidi w:val="0"/>
              <w:spacing w:before="0" w:after="283"/>
              <w:jc w:val="both"/>
              <w:rPr>
                <w:sz w:val="20"/>
              </w:rPr>
            </w:pPr>
            <w:r>
              <w:rPr>
                <w:sz w:val="20"/>
              </w:rPr>
              <w:t>To distribute any of the property of the Company among the members of the Company in specie.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sz w:val="20"/>
              </w:rPr>
            </w:pPr>
            <w:r>
              <w:rPr>
                <w:sz w:val="20"/>
              </w:rPr>
              <w:t>(p)</w:t>
            </w:r>
          </w:p>
        </w:tc>
        <w:tc>
          <w:tcPr>
            <w:tcW w:w="9923" w:type="dxa"/>
            <w:tcBorders/>
            <w:vAlign w:val="center"/>
          </w:tcPr>
          <w:p>
            <w:pPr>
              <w:pStyle w:val="TableContents"/>
              <w:bidi w:val="0"/>
              <w:spacing w:before="0" w:after="283"/>
              <w:jc w:val="both"/>
              <w:rPr>
                <w:sz w:val="20"/>
              </w:rPr>
            </w:pPr>
            <w:r>
              <w:rPr>
                <w:sz w:val="20"/>
              </w:rPr>
              <w:t>To acquire and take over the whole or any part of the business, property and liabilities of any person or persons, firm or company or to take or otherwise acquire and hold shares, stock, debentures or other securities of or interest in any other company carrying on any business or possessed of any property or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both"/>
              <w:rPr>
                <w:sz w:val="20"/>
              </w:rPr>
            </w:pPr>
            <w:r>
              <w:rPr>
                <w:sz w:val="20"/>
              </w:rPr>
              <w:t>(q)</w:t>
            </w:r>
          </w:p>
        </w:tc>
        <w:tc>
          <w:tcPr>
            <w:tcW w:w="9920" w:type="dxa"/>
            <w:tcBorders/>
            <w:vAlign w:val="center"/>
          </w:tcPr>
          <w:p>
            <w:pPr>
              <w:pStyle w:val="TableContents"/>
              <w:bidi w:val="0"/>
              <w:spacing w:before="0" w:after="283"/>
              <w:jc w:val="both"/>
              <w:rPr>
                <w:sz w:val="20"/>
              </w:rPr>
            </w:pPr>
            <w:r>
              <w:rPr>
                <w:sz w:val="20"/>
              </w:rPr>
              <w:t>To grant pensions, allowances, gratuities and bonuses to employees or ex-employees of the Company or the dependents of such persons and to support, establish or subscribe to any charitable or other institutions, clubs, societies or funds or to any national or patriotic fund.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both"/>
              <w:rPr>
                <w:sz w:val="20"/>
              </w:rPr>
            </w:pPr>
            <w:r>
              <w:rPr>
                <w:sz w:val="20"/>
              </w:rPr>
              <w:t>(r)</w:t>
            </w:r>
          </w:p>
        </w:tc>
        <w:tc>
          <w:tcPr>
            <w:tcW w:w="9979" w:type="dxa"/>
            <w:tcBorders/>
            <w:vAlign w:val="center"/>
          </w:tcPr>
          <w:p>
            <w:pPr>
              <w:pStyle w:val="TableContents"/>
              <w:bidi w:val="0"/>
              <w:spacing w:before="0" w:after="283"/>
              <w:jc w:val="both"/>
              <w:rPr>
                <w:sz w:val="20"/>
              </w:rPr>
            </w:pPr>
            <w:r>
              <w:rPr>
                <w:sz w:val="20"/>
              </w:rPr>
              <w:t>To lend and advance moneys or give credit to such persons and on such terms as may be thought fit and to guarantee or stand surety for the obligations of any third party whether such third party is related to the Company or otherwise and whether or not such guarantee or surety is to provide any benefits to the Company and for that purpose to mortgage or charge the Company’s undertaking, property and uncalled capital or any part thereof, on such terms and conditions as may be thought expedient in support of any such obligations binding on the Company whether contingent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both"/>
              <w:rPr>
                <w:sz w:val="20"/>
              </w:rPr>
            </w:pPr>
            <w:r>
              <w:rPr>
                <w:sz w:val="20"/>
              </w:rPr>
              <w:t>(s)</w:t>
            </w:r>
          </w:p>
        </w:tc>
        <w:tc>
          <w:tcPr>
            <w:tcW w:w="9966" w:type="dxa"/>
            <w:tcBorders/>
            <w:vAlign w:val="center"/>
          </w:tcPr>
          <w:p>
            <w:pPr>
              <w:pStyle w:val="TableContents"/>
              <w:bidi w:val="0"/>
              <w:spacing w:before="0" w:after="283"/>
              <w:jc w:val="both"/>
              <w:rPr>
                <w:sz w:val="20"/>
              </w:rPr>
            </w:pPr>
            <w:r>
              <w:rPr>
                <w:sz w:val="20"/>
              </w:rPr>
              <w:t>To enter into partnership or into any arrangements for sharing profits, union of interests, co-operation, joint venture, reciprocal concession, amalgamation or otherwise with any person or persons or company engaged or interested or about to become engaged or interested in the carrying on or conduct of any business or enterprise from which this Company would or might derive any benefit whether direct or indirect and to lend money, guarantee the contracts of or otherwise assist any such person or company and to take subscribe for or otherwise acquire shares and securities of any such company and to sell, hold, re issue with or without guarantee or otherwise deal with the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sz w:val="20"/>
              </w:rPr>
            </w:pPr>
            <w:r>
              <w:rPr>
                <w:sz w:val="20"/>
              </w:rPr>
              <w:t>(t)</w:t>
            </w:r>
          </w:p>
        </w:tc>
        <w:tc>
          <w:tcPr>
            <w:tcW w:w="9969" w:type="dxa"/>
            <w:tcBorders/>
            <w:vAlign w:val="center"/>
          </w:tcPr>
          <w:p>
            <w:pPr>
              <w:pStyle w:val="TableContents"/>
              <w:bidi w:val="0"/>
              <w:spacing w:before="0" w:after="283"/>
              <w:jc w:val="both"/>
              <w:rPr>
                <w:sz w:val="20"/>
              </w:rPr>
            </w:pPr>
            <w:r>
              <w:rPr>
                <w:sz w:val="20"/>
              </w:rPr>
              <w:t>To enter into any arrangements with any authorities, municipal or local or otherwise and to obtain from any such authority any rights, privileges or concessions which the Company may think it desirable to obtain and to carry out, exercise and comply with any such arrangements, rights, privileges or concessions.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both"/>
              <w:rPr>
                <w:sz w:val="20"/>
              </w:rPr>
            </w:pPr>
            <w:r>
              <w:rPr>
                <w:sz w:val="20"/>
              </w:rPr>
              <w:t>(u)</w:t>
            </w:r>
          </w:p>
        </w:tc>
        <w:tc>
          <w:tcPr>
            <w:tcW w:w="9894" w:type="dxa"/>
            <w:tcBorders/>
            <w:vAlign w:val="center"/>
          </w:tcPr>
          <w:p>
            <w:pPr>
              <w:pStyle w:val="TableContents"/>
              <w:bidi w:val="0"/>
              <w:spacing w:before="0" w:after="283"/>
              <w:jc w:val="both"/>
              <w:rPr>
                <w:sz w:val="20"/>
              </w:rPr>
            </w:pPr>
            <w:r>
              <w:rPr>
                <w:sz w:val="20"/>
              </w:rPr>
              <w:t>To do all such things as are incidental to or which the Company may think conducive to the attainment of the above objects or any of them.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sz w:val="20"/>
              </w:rPr>
            </w:pPr>
            <w:r>
              <w:rPr>
                <w:sz w:val="20"/>
              </w:rPr>
              <w:t>5.</w:t>
            </w:r>
          </w:p>
        </w:tc>
        <w:tc>
          <w:tcPr>
            <w:tcW w:w="10052" w:type="dxa"/>
            <w:tcBorders/>
            <w:vAlign w:val="center"/>
          </w:tcPr>
          <w:p>
            <w:pPr>
              <w:pStyle w:val="TableContents"/>
              <w:bidi w:val="0"/>
              <w:spacing w:before="0" w:after="283"/>
              <w:jc w:val="both"/>
              <w:rPr>
                <w:sz w:val="20"/>
              </w:rPr>
            </w:pPr>
            <w:r>
              <w:rPr>
                <w:sz w:val="20"/>
              </w:rPr>
              <w:t>If the Company is registered as an exempted company as defined in the Cayman Islands Companies Act, it shall have the power, subject to the provisions of the Cayman Islands Companies Act and with the approval of a special resolution, to continue as a body incorporated under the laws of any jurisdiction outside of the Cayman Islands and to be de-registered in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both"/>
              <w:rPr>
                <w:sz w:val="20"/>
              </w:rPr>
            </w:pPr>
            <w:r>
              <w:rPr>
                <w:sz w:val="20"/>
              </w:rPr>
              <w:t>6.</w:t>
            </w:r>
          </w:p>
        </w:tc>
        <w:tc>
          <w:tcPr>
            <w:tcW w:w="10054" w:type="dxa"/>
            <w:tcBorders/>
            <w:vAlign w:val="center"/>
          </w:tcPr>
          <w:p>
            <w:pPr>
              <w:pStyle w:val="TableContents"/>
              <w:bidi w:val="0"/>
              <w:spacing w:before="0" w:after="283"/>
              <w:jc w:val="both"/>
              <w:rPr>
                <w:sz w:val="20"/>
              </w:rPr>
            </w:pPr>
            <w:r>
              <w:rPr>
                <w:sz w:val="20"/>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both"/>
              <w:rPr>
                <w:sz w:val="20"/>
              </w:rPr>
            </w:pPr>
            <w:r>
              <w:rPr>
                <w:sz w:val="20"/>
              </w:rPr>
              <w:t>7.</w:t>
            </w:r>
          </w:p>
        </w:tc>
        <w:tc>
          <w:tcPr>
            <w:tcW w:w="10021" w:type="dxa"/>
            <w:tcBorders/>
            <w:vAlign w:val="center"/>
          </w:tcPr>
          <w:p>
            <w:pPr>
              <w:pStyle w:val="TableContents"/>
              <w:bidi w:val="0"/>
              <w:spacing w:before="0" w:after="283"/>
              <w:jc w:val="both"/>
              <w:rPr>
                <w:sz w:val="20"/>
              </w:rPr>
            </w:pPr>
            <w:r>
              <w:rPr>
                <w:sz w:val="20"/>
              </w:rPr>
              <w:t>The liability of the members of the Company is limited to the amount, if any, unpaid on the shares respectively held by them.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both"/>
              <w:rPr>
                <w:sz w:val="20"/>
              </w:rPr>
            </w:pPr>
            <w:r>
              <w:rPr>
                <w:sz w:val="20"/>
              </w:rPr>
              <w:t>8.</w:t>
            </w:r>
          </w:p>
        </w:tc>
        <w:tc>
          <w:tcPr>
            <w:tcW w:w="10057" w:type="dxa"/>
            <w:tcBorders/>
            <w:vAlign w:val="center"/>
          </w:tcPr>
          <w:p>
            <w:pPr>
              <w:pStyle w:val="TableContents"/>
              <w:bidi w:val="0"/>
              <w:spacing w:before="0" w:after="283"/>
              <w:jc w:val="both"/>
              <w:rPr>
                <w:sz w:val="20"/>
              </w:rPr>
            </w:pPr>
            <w:r>
              <w:rPr>
                <w:sz w:val="20"/>
              </w:rPr>
              <w:t xml:space="preserve">The authorised share capital of the Company is </w:t>
            </w:r>
            <w:r>
              <w:rPr>
                <w:b/>
                <w:sz w:val="20"/>
              </w:rPr>
              <w:t>US$50,000</w:t>
            </w:r>
            <w:r>
              <w:rPr>
                <w:sz w:val="20"/>
              </w:rPr>
              <w:t xml:space="preserve"> consisting of </w:t>
            </w:r>
            <w:r>
              <w:rPr>
                <w:b/>
                <w:sz w:val="20"/>
              </w:rPr>
              <w:t>500,000,000</w:t>
            </w:r>
            <w:r>
              <w:rPr>
                <w:sz w:val="20"/>
              </w:rPr>
              <w:t xml:space="preserve"> shares of a nominal or par value of </w:t>
            </w:r>
            <w:r>
              <w:rPr>
                <w:b/>
                <w:sz w:val="20"/>
              </w:rPr>
              <w:t>US$0.0001</w:t>
            </w:r>
            <w:r>
              <w:rPr>
                <w:sz w:val="20"/>
              </w:rPr>
              <w:t xml:space="preserve"> each with the power for the Company to increase or reduce the said capital and to issue any part of its capital, original or increased, with or without any preference, priority or special privilege or subject to any postponement of rights or to any conditions or restrictions; and so that, unless the condition of issue shall otherwise expressly declare, every issue of shares, whether declared to be preference or otherwise, shall be subject to the power hereinbefore contained.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8110" w:type="dxa"/>
        <w:jc w:val="left"/>
        <w:tblInd w:w="0" w:type="dxa"/>
        <w:tblLayout w:type="fixed"/>
        <w:tblCellMar>
          <w:top w:w="0" w:type="dxa"/>
          <w:left w:w="0" w:type="dxa"/>
          <w:bottom w:w="28" w:type="dxa"/>
          <w:right w:w="0" w:type="dxa"/>
        </w:tblCellMar>
      </w:tblPr>
      <w:tblGrid>
        <w:gridCol w:w="7340"/>
        <w:gridCol w:w="60"/>
        <w:gridCol w:w="710"/>
      </w:tblGrid>
      <w:tr>
        <w:trPr/>
        <w:tc>
          <w:tcPr>
            <w:tcW w:w="7340" w:type="dxa"/>
            <w:tcBorders>
              <w:bottom w:val="single" w:sz="12" w:space="0" w:color="000000"/>
            </w:tcBorders>
            <w:vAlign w:val="center"/>
          </w:tcPr>
          <w:p>
            <w:pPr>
              <w:pStyle w:val="TableContents"/>
              <w:bidi w:val="0"/>
              <w:spacing w:before="0" w:after="283"/>
              <w:jc w:val="left"/>
              <w:rPr>
                <w:b/>
              </w:rPr>
            </w:pPr>
            <w:r>
              <w:rPr>
                <w:b/>
              </w:rPr>
              <w:t>ARTICLE</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283"/>
              <w:jc w:val="center"/>
              <w:rPr>
                <w:b/>
              </w:rPr>
            </w:pPr>
            <w:r>
              <w:rPr>
                <w:b/>
              </w:rPr>
              <w:t>PAGE</w:t>
            </w:r>
          </w:p>
        </w:tc>
      </w:tr>
      <w:tr>
        <w:trPr/>
        <w:tc>
          <w:tcPr>
            <w:tcW w:w="7340" w:type="dxa"/>
            <w:tcBorders/>
            <w:shd w:fill="CCEEFF" w:val="clear"/>
            <w:tcMar>
              <w:bottom w:w="0" w:type="dxa"/>
            </w:tcMar>
            <w:vAlign w:val="center"/>
          </w:tcPr>
          <w:p>
            <w:pPr>
              <w:pStyle w:val="TableContents"/>
              <w:bidi w:val="0"/>
              <w:spacing w:before="0" w:after="283"/>
              <w:jc w:val="left"/>
              <w:rPr/>
            </w:pPr>
            <w:r>
              <w:rPr/>
              <w:t>TABLE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w:t>
            </w:r>
          </w:p>
        </w:tc>
      </w:tr>
      <w:tr>
        <w:trPr/>
        <w:tc>
          <w:tcPr>
            <w:tcW w:w="7340" w:type="dxa"/>
            <w:tcBorders/>
            <w:shd w:fill="FFFFFF" w:val="clear"/>
            <w:tcMar>
              <w:bottom w:w="0" w:type="dxa"/>
            </w:tcMar>
            <w:vAlign w:val="center"/>
          </w:tcPr>
          <w:p>
            <w:pPr>
              <w:pStyle w:val="TableContents"/>
              <w:bidi w:val="0"/>
              <w:spacing w:before="0" w:after="283"/>
              <w:jc w:val="left"/>
              <w:rPr/>
            </w:pPr>
            <w:r>
              <w:rPr/>
              <w:t>INTERPRETATION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1</w:t>
            </w:r>
          </w:p>
        </w:tc>
      </w:tr>
      <w:tr>
        <w:trPr/>
        <w:tc>
          <w:tcPr>
            <w:tcW w:w="7340" w:type="dxa"/>
            <w:tcBorders/>
            <w:shd w:fill="CCEEFF" w:val="clear"/>
            <w:tcMar>
              <w:bottom w:w="0" w:type="dxa"/>
            </w:tcMar>
            <w:vAlign w:val="center"/>
          </w:tcPr>
          <w:p>
            <w:pPr>
              <w:pStyle w:val="TableContents"/>
              <w:bidi w:val="0"/>
              <w:spacing w:before="0" w:after="283"/>
              <w:jc w:val="left"/>
              <w:rPr/>
            </w:pPr>
            <w:r>
              <w:rPr/>
              <w:t>SHARES, WARRANTS AND MODIFICATION OF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7</w:t>
            </w:r>
          </w:p>
        </w:tc>
      </w:tr>
      <w:tr>
        <w:trPr/>
        <w:tc>
          <w:tcPr>
            <w:tcW w:w="7340" w:type="dxa"/>
            <w:tcBorders/>
            <w:shd w:fill="FFFFFF" w:val="clear"/>
            <w:tcMar>
              <w:bottom w:w="0" w:type="dxa"/>
            </w:tcMar>
            <w:vAlign w:val="center"/>
          </w:tcPr>
          <w:p>
            <w:pPr>
              <w:pStyle w:val="TableContents"/>
              <w:bidi w:val="0"/>
              <w:spacing w:before="0" w:after="283"/>
              <w:jc w:val="left"/>
              <w:rPr/>
            </w:pPr>
            <w:r>
              <w:rPr/>
              <w:t>REGISTER OF SHAREHOLDERS AND SHARE CERTIFICATES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11</w:t>
            </w:r>
          </w:p>
        </w:tc>
      </w:tr>
      <w:tr>
        <w:trPr/>
        <w:tc>
          <w:tcPr>
            <w:tcW w:w="7340" w:type="dxa"/>
            <w:tcBorders/>
            <w:shd w:fill="CCEEFF" w:val="clear"/>
            <w:tcMar>
              <w:bottom w:w="0" w:type="dxa"/>
            </w:tcMar>
            <w:vAlign w:val="center"/>
          </w:tcPr>
          <w:p>
            <w:pPr>
              <w:pStyle w:val="TableContents"/>
              <w:bidi w:val="0"/>
              <w:spacing w:before="0" w:after="283"/>
              <w:jc w:val="left"/>
              <w:rPr/>
            </w:pPr>
            <w:r>
              <w:rPr/>
              <w:t>LIEN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13</w:t>
            </w:r>
          </w:p>
        </w:tc>
      </w:tr>
      <w:tr>
        <w:trPr/>
        <w:tc>
          <w:tcPr>
            <w:tcW w:w="7340" w:type="dxa"/>
            <w:tcBorders/>
            <w:shd w:fill="FFFFFF" w:val="clear"/>
            <w:tcMar>
              <w:bottom w:w="0" w:type="dxa"/>
            </w:tcMar>
            <w:vAlign w:val="center"/>
          </w:tcPr>
          <w:p>
            <w:pPr>
              <w:pStyle w:val="TableContents"/>
              <w:bidi w:val="0"/>
              <w:spacing w:before="0" w:after="283"/>
              <w:jc w:val="left"/>
              <w:rPr/>
            </w:pPr>
            <w:r>
              <w:rPr/>
              <w:t>CALLS ON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13</w:t>
            </w:r>
          </w:p>
        </w:tc>
      </w:tr>
      <w:tr>
        <w:trPr/>
        <w:tc>
          <w:tcPr>
            <w:tcW w:w="7340" w:type="dxa"/>
            <w:tcBorders/>
            <w:shd w:fill="CCEEFF" w:val="clear"/>
            <w:tcMar>
              <w:bottom w:w="0" w:type="dxa"/>
            </w:tcMar>
            <w:vAlign w:val="center"/>
          </w:tcPr>
          <w:p>
            <w:pPr>
              <w:pStyle w:val="TableContents"/>
              <w:bidi w:val="0"/>
              <w:spacing w:before="0" w:after="283"/>
              <w:jc w:val="left"/>
              <w:rPr/>
            </w:pPr>
            <w:r>
              <w:rPr/>
              <w:t>TRANSFER OF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15</w:t>
            </w:r>
          </w:p>
        </w:tc>
      </w:tr>
      <w:tr>
        <w:trPr/>
        <w:tc>
          <w:tcPr>
            <w:tcW w:w="7340" w:type="dxa"/>
            <w:tcBorders/>
            <w:shd w:fill="FFFFFF" w:val="clear"/>
            <w:tcMar>
              <w:bottom w:w="0" w:type="dxa"/>
            </w:tcMar>
            <w:vAlign w:val="center"/>
          </w:tcPr>
          <w:p>
            <w:pPr>
              <w:pStyle w:val="TableContents"/>
              <w:bidi w:val="0"/>
              <w:spacing w:before="0" w:after="283"/>
              <w:jc w:val="left"/>
              <w:rPr/>
            </w:pPr>
            <w:r>
              <w:rPr/>
              <w:t>TRANSMISSION OF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17</w:t>
            </w:r>
          </w:p>
        </w:tc>
      </w:tr>
      <w:tr>
        <w:trPr/>
        <w:tc>
          <w:tcPr>
            <w:tcW w:w="7340" w:type="dxa"/>
            <w:tcBorders/>
            <w:shd w:fill="CCEEFF" w:val="clear"/>
            <w:tcMar>
              <w:bottom w:w="0" w:type="dxa"/>
            </w:tcMar>
            <w:vAlign w:val="center"/>
          </w:tcPr>
          <w:p>
            <w:pPr>
              <w:pStyle w:val="TableContents"/>
              <w:bidi w:val="0"/>
              <w:spacing w:before="0" w:after="283"/>
              <w:jc w:val="left"/>
              <w:rPr/>
            </w:pPr>
            <w:r>
              <w:rPr/>
              <w:t>FORFEITURE OF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17</w:t>
            </w:r>
          </w:p>
        </w:tc>
      </w:tr>
      <w:tr>
        <w:trPr/>
        <w:tc>
          <w:tcPr>
            <w:tcW w:w="7340" w:type="dxa"/>
            <w:tcBorders/>
            <w:shd w:fill="FFFFFF" w:val="clear"/>
            <w:tcMar>
              <w:bottom w:w="0" w:type="dxa"/>
            </w:tcMar>
            <w:vAlign w:val="center"/>
          </w:tcPr>
          <w:p>
            <w:pPr>
              <w:pStyle w:val="TableContents"/>
              <w:bidi w:val="0"/>
              <w:spacing w:before="0" w:after="283"/>
              <w:jc w:val="left"/>
              <w:rPr/>
            </w:pPr>
            <w:r>
              <w:rPr/>
              <w:t>TREASURY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19</w:t>
            </w:r>
          </w:p>
        </w:tc>
      </w:tr>
      <w:tr>
        <w:trPr/>
        <w:tc>
          <w:tcPr>
            <w:tcW w:w="7340" w:type="dxa"/>
            <w:tcBorders/>
            <w:shd w:fill="CCEEFF" w:val="clear"/>
            <w:tcMar>
              <w:bottom w:w="0" w:type="dxa"/>
            </w:tcMar>
            <w:vAlign w:val="center"/>
          </w:tcPr>
          <w:p>
            <w:pPr>
              <w:pStyle w:val="TableContents"/>
              <w:bidi w:val="0"/>
              <w:spacing w:before="0" w:after="283"/>
              <w:jc w:val="left"/>
              <w:rPr/>
            </w:pPr>
            <w:r>
              <w:rPr/>
              <w:t>GENERAL MEETINGS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19</w:t>
            </w:r>
          </w:p>
        </w:tc>
      </w:tr>
      <w:tr>
        <w:trPr/>
        <w:tc>
          <w:tcPr>
            <w:tcW w:w="7340" w:type="dxa"/>
            <w:tcBorders/>
            <w:shd w:fill="FFFFFF" w:val="clear"/>
            <w:tcMar>
              <w:bottom w:w="0" w:type="dxa"/>
            </w:tcMar>
            <w:vAlign w:val="center"/>
          </w:tcPr>
          <w:p>
            <w:pPr>
              <w:pStyle w:val="TableContents"/>
              <w:bidi w:val="0"/>
              <w:spacing w:before="0" w:after="283"/>
              <w:jc w:val="left"/>
              <w:rPr/>
            </w:pPr>
            <w:r>
              <w:rPr/>
              <w:t>PROCEEDINGS AT GENERAL MEETINGS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23</w:t>
            </w:r>
          </w:p>
        </w:tc>
      </w:tr>
      <w:tr>
        <w:trPr/>
        <w:tc>
          <w:tcPr>
            <w:tcW w:w="7340" w:type="dxa"/>
            <w:tcBorders/>
            <w:shd w:fill="CCEEFF" w:val="clear"/>
            <w:tcMar>
              <w:bottom w:w="0" w:type="dxa"/>
            </w:tcMar>
            <w:vAlign w:val="center"/>
          </w:tcPr>
          <w:p>
            <w:pPr>
              <w:pStyle w:val="TableContents"/>
              <w:bidi w:val="0"/>
              <w:spacing w:before="0" w:after="283"/>
              <w:jc w:val="left"/>
              <w:rPr/>
            </w:pPr>
            <w:r>
              <w:rPr/>
              <w:t>VOTES OF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25</w:t>
            </w:r>
          </w:p>
        </w:tc>
      </w:tr>
      <w:tr>
        <w:trPr/>
        <w:tc>
          <w:tcPr>
            <w:tcW w:w="7340" w:type="dxa"/>
            <w:tcBorders/>
            <w:shd w:fill="FFFFFF" w:val="clear"/>
            <w:tcMar>
              <w:bottom w:w="0" w:type="dxa"/>
            </w:tcMar>
            <w:vAlign w:val="center"/>
          </w:tcPr>
          <w:p>
            <w:pPr>
              <w:pStyle w:val="TableContents"/>
              <w:bidi w:val="0"/>
              <w:spacing w:before="0" w:after="283"/>
              <w:jc w:val="left"/>
              <w:rPr/>
            </w:pPr>
            <w:r>
              <w:rPr/>
              <w:t>APPOINTMENT OF PROXY AND CORPORATE REPRESENTATIVE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27</w:t>
            </w:r>
          </w:p>
        </w:tc>
      </w:tr>
      <w:tr>
        <w:trPr/>
        <w:tc>
          <w:tcPr>
            <w:tcW w:w="7340" w:type="dxa"/>
            <w:tcBorders/>
            <w:shd w:fill="CCEEFF" w:val="clear"/>
            <w:tcMar>
              <w:bottom w:w="0" w:type="dxa"/>
            </w:tcMar>
            <w:vAlign w:val="center"/>
          </w:tcPr>
          <w:p>
            <w:pPr>
              <w:pStyle w:val="TableContents"/>
              <w:bidi w:val="0"/>
              <w:spacing w:before="0" w:after="283"/>
              <w:jc w:val="left"/>
              <w:rPr/>
            </w:pPr>
            <w:r>
              <w:rPr/>
              <w:t>REGISTERED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30</w:t>
            </w:r>
          </w:p>
        </w:tc>
      </w:tr>
      <w:tr>
        <w:trPr/>
        <w:tc>
          <w:tcPr>
            <w:tcW w:w="7340" w:type="dxa"/>
            <w:tcBorders/>
            <w:shd w:fill="FFFFFF" w:val="clear"/>
            <w:tcMar>
              <w:bottom w:w="0" w:type="dxa"/>
            </w:tcMar>
            <w:vAlign w:val="center"/>
          </w:tcPr>
          <w:p>
            <w:pPr>
              <w:pStyle w:val="TableContents"/>
              <w:bidi w:val="0"/>
              <w:spacing w:before="0" w:after="283"/>
              <w:jc w:val="left"/>
              <w:rPr/>
            </w:pPr>
            <w:r>
              <w:rPr/>
              <w:t>BOARD OF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30</w:t>
            </w:r>
          </w:p>
        </w:tc>
      </w:tr>
      <w:tr>
        <w:trPr/>
        <w:tc>
          <w:tcPr>
            <w:tcW w:w="7340" w:type="dxa"/>
            <w:tcBorders/>
            <w:shd w:fill="CCEEFF" w:val="clear"/>
            <w:tcMar>
              <w:bottom w:w="0" w:type="dxa"/>
            </w:tcMar>
            <w:vAlign w:val="center"/>
          </w:tcPr>
          <w:p>
            <w:pPr>
              <w:pStyle w:val="TableContents"/>
              <w:bidi w:val="0"/>
              <w:spacing w:before="0" w:after="283"/>
              <w:jc w:val="left"/>
              <w:rPr/>
            </w:pPr>
            <w:r>
              <w:rPr/>
              <w:t>APPOINTMENT AND ROTATION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35</w:t>
            </w:r>
          </w:p>
        </w:tc>
      </w:tr>
      <w:tr>
        <w:trPr/>
        <w:tc>
          <w:tcPr>
            <w:tcW w:w="7340" w:type="dxa"/>
            <w:tcBorders/>
            <w:shd w:fill="FFFFFF" w:val="clear"/>
            <w:tcMar>
              <w:bottom w:w="0" w:type="dxa"/>
            </w:tcMar>
            <w:vAlign w:val="center"/>
          </w:tcPr>
          <w:p>
            <w:pPr>
              <w:pStyle w:val="TableContents"/>
              <w:bidi w:val="0"/>
              <w:spacing w:before="0" w:after="283"/>
              <w:jc w:val="left"/>
              <w:rPr/>
            </w:pPr>
            <w:r>
              <w:rPr/>
              <w:t>BORROWING POWERS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36</w:t>
            </w:r>
          </w:p>
        </w:tc>
      </w:tr>
      <w:tr>
        <w:trPr/>
        <w:tc>
          <w:tcPr>
            <w:tcW w:w="7340" w:type="dxa"/>
            <w:tcBorders/>
            <w:shd w:fill="CCEEFF" w:val="clear"/>
            <w:tcMar>
              <w:bottom w:w="0" w:type="dxa"/>
            </w:tcMar>
            <w:vAlign w:val="center"/>
          </w:tcPr>
          <w:p>
            <w:pPr>
              <w:pStyle w:val="TableContents"/>
              <w:bidi w:val="0"/>
              <w:spacing w:before="0" w:after="283"/>
              <w:jc w:val="left"/>
              <w:rPr/>
            </w:pPr>
            <w:r>
              <w:rPr/>
              <w:t>MANAGING DIRECTORS, ETC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37</w:t>
            </w:r>
          </w:p>
        </w:tc>
      </w:tr>
      <w:tr>
        <w:trPr/>
        <w:tc>
          <w:tcPr>
            <w:tcW w:w="7340" w:type="dxa"/>
            <w:tcBorders/>
            <w:shd w:fill="FFFFFF" w:val="clear"/>
            <w:tcMar>
              <w:bottom w:w="0" w:type="dxa"/>
            </w:tcMar>
            <w:vAlign w:val="center"/>
          </w:tcPr>
          <w:p>
            <w:pPr>
              <w:pStyle w:val="TableContents"/>
              <w:bidi w:val="0"/>
              <w:spacing w:before="0" w:after="283"/>
              <w:jc w:val="left"/>
              <w:rPr/>
            </w:pPr>
            <w:r>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38</w:t>
            </w:r>
          </w:p>
        </w:tc>
      </w:tr>
      <w:tr>
        <w:trPr/>
        <w:tc>
          <w:tcPr>
            <w:tcW w:w="7340" w:type="dxa"/>
            <w:tcBorders/>
            <w:shd w:fill="CCEEFF" w:val="clear"/>
            <w:tcMar>
              <w:bottom w:w="0" w:type="dxa"/>
            </w:tcMar>
            <w:vAlign w:val="center"/>
          </w:tcPr>
          <w:p>
            <w:pPr>
              <w:pStyle w:val="TableContents"/>
              <w:bidi w:val="0"/>
              <w:spacing w:before="0" w:after="283"/>
              <w:jc w:val="left"/>
              <w:rPr/>
            </w:pPr>
            <w:r>
              <w:rPr/>
              <w:t>MANAGERS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38</w:t>
            </w:r>
          </w:p>
        </w:tc>
      </w:tr>
      <w:tr>
        <w:trPr/>
        <w:tc>
          <w:tcPr>
            <w:tcW w:w="7340" w:type="dxa"/>
            <w:tcBorders/>
            <w:shd w:fill="FFFFFF" w:val="clear"/>
            <w:tcMar>
              <w:bottom w:w="0" w:type="dxa"/>
            </w:tcMar>
            <w:vAlign w:val="center"/>
          </w:tcPr>
          <w:p>
            <w:pPr>
              <w:pStyle w:val="TableContents"/>
              <w:bidi w:val="0"/>
              <w:spacing w:before="0" w:after="283"/>
              <w:jc w:val="left"/>
              <w:rPr/>
            </w:pPr>
            <w:r>
              <w:rPr/>
              <w:t>CHAIRMAN AND OTHER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38</w:t>
            </w:r>
          </w:p>
        </w:tc>
      </w:tr>
      <w:tr>
        <w:trPr/>
        <w:tc>
          <w:tcPr>
            <w:tcW w:w="7340" w:type="dxa"/>
            <w:tcBorders/>
            <w:shd w:fill="CCEEFF" w:val="clear"/>
            <w:tcMar>
              <w:bottom w:w="0" w:type="dxa"/>
            </w:tcMar>
            <w:vAlign w:val="center"/>
          </w:tcPr>
          <w:p>
            <w:pPr>
              <w:pStyle w:val="TableContents"/>
              <w:bidi w:val="0"/>
              <w:spacing w:before="0" w:after="283"/>
              <w:jc w:val="left"/>
              <w:rPr/>
            </w:pPr>
            <w:r>
              <w:rPr/>
              <w:t>PROCEEDINGS OF THE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39</w:t>
            </w:r>
          </w:p>
        </w:tc>
      </w:tr>
      <w:tr>
        <w:trPr/>
        <w:tc>
          <w:tcPr>
            <w:tcW w:w="7340" w:type="dxa"/>
            <w:tcBorders/>
            <w:shd w:fill="FFFFFF" w:val="clear"/>
            <w:tcMar>
              <w:bottom w:w="0" w:type="dxa"/>
            </w:tcMar>
            <w:vAlign w:val="center"/>
          </w:tcPr>
          <w:p>
            <w:pPr>
              <w:pStyle w:val="TableContents"/>
              <w:bidi w:val="0"/>
              <w:spacing w:before="0" w:after="283"/>
              <w:jc w:val="left"/>
              <w:rPr/>
            </w:pPr>
            <w:r>
              <w:rPr/>
              <w:t>MINUTES AND CORPORATE RECORDS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41</w:t>
            </w:r>
          </w:p>
        </w:tc>
      </w:tr>
      <w:tr>
        <w:trPr/>
        <w:tc>
          <w:tcPr>
            <w:tcW w:w="7340" w:type="dxa"/>
            <w:tcBorders/>
            <w:shd w:fill="CCEEFF" w:val="clear"/>
            <w:tcMar>
              <w:bottom w:w="0" w:type="dxa"/>
            </w:tcMar>
            <w:vAlign w:val="center"/>
          </w:tcPr>
          <w:p>
            <w:pPr>
              <w:pStyle w:val="TableContents"/>
              <w:bidi w:val="0"/>
              <w:spacing w:before="0" w:after="283"/>
              <w:jc w:val="left"/>
              <w:rPr/>
            </w:pPr>
            <w:r>
              <w:rPr/>
              <w:t>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41</w:t>
            </w:r>
          </w:p>
        </w:tc>
      </w:tr>
      <w:tr>
        <w:trPr/>
        <w:tc>
          <w:tcPr>
            <w:tcW w:w="7340" w:type="dxa"/>
            <w:tcBorders/>
            <w:shd w:fill="FFFFFF" w:val="clear"/>
            <w:tcMar>
              <w:bottom w:w="0" w:type="dxa"/>
            </w:tcMar>
            <w:vAlign w:val="center"/>
          </w:tcPr>
          <w:p>
            <w:pPr>
              <w:pStyle w:val="TableContents"/>
              <w:bidi w:val="0"/>
              <w:spacing w:before="0" w:after="283"/>
              <w:jc w:val="left"/>
              <w:rPr/>
            </w:pPr>
            <w:r>
              <w:rPr/>
              <w:t>GENERAL MANAGEMENT AND USE OF THE SEAL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41</w:t>
            </w:r>
          </w:p>
        </w:tc>
      </w:tr>
      <w:tr>
        <w:trPr/>
        <w:tc>
          <w:tcPr>
            <w:tcW w:w="7340" w:type="dxa"/>
            <w:tcBorders/>
            <w:shd w:fill="CCEEFF" w:val="clear"/>
            <w:tcMar>
              <w:bottom w:w="0" w:type="dxa"/>
            </w:tcMar>
            <w:vAlign w:val="center"/>
          </w:tcPr>
          <w:p>
            <w:pPr>
              <w:pStyle w:val="TableContents"/>
              <w:bidi w:val="0"/>
              <w:spacing w:before="0" w:after="283"/>
              <w:jc w:val="left"/>
              <w:rPr/>
            </w:pPr>
            <w:r>
              <w:rPr/>
              <w:t>AUTHENTICATION OF DOCUMENTS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43</w:t>
            </w:r>
          </w:p>
        </w:tc>
      </w:tr>
      <w:tr>
        <w:trPr/>
        <w:tc>
          <w:tcPr>
            <w:tcW w:w="7340" w:type="dxa"/>
            <w:tcBorders/>
            <w:shd w:fill="FFFFFF" w:val="clear"/>
            <w:tcMar>
              <w:bottom w:w="0" w:type="dxa"/>
            </w:tcMar>
            <w:vAlign w:val="center"/>
          </w:tcPr>
          <w:p>
            <w:pPr>
              <w:pStyle w:val="TableContents"/>
              <w:bidi w:val="0"/>
              <w:spacing w:before="0" w:after="283"/>
              <w:jc w:val="left"/>
              <w:rPr/>
            </w:pPr>
            <w:r>
              <w:rPr/>
              <w:t>CAPITALISATION OF RESERVES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43</w:t>
            </w:r>
          </w:p>
        </w:tc>
      </w:tr>
      <w:tr>
        <w:trPr/>
        <w:tc>
          <w:tcPr>
            <w:tcW w:w="7340" w:type="dxa"/>
            <w:tcBorders/>
            <w:shd w:fill="CCEEFF" w:val="clear"/>
            <w:tcMar>
              <w:bottom w:w="0" w:type="dxa"/>
            </w:tcMar>
            <w:vAlign w:val="center"/>
          </w:tcPr>
          <w:p>
            <w:pPr>
              <w:pStyle w:val="TableContents"/>
              <w:bidi w:val="0"/>
              <w:spacing w:before="0" w:after="283"/>
              <w:jc w:val="left"/>
              <w:rPr/>
            </w:pPr>
            <w:r>
              <w:rPr/>
              <w:t>DIVIDENDS AND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44</w:t>
            </w:r>
          </w:p>
        </w:tc>
      </w:tr>
      <w:tr>
        <w:trPr/>
        <w:tc>
          <w:tcPr>
            <w:tcW w:w="7340" w:type="dxa"/>
            <w:tcBorders/>
            <w:shd w:fill="FFFFFF" w:val="clear"/>
            <w:tcMar>
              <w:bottom w:w="0" w:type="dxa"/>
            </w:tcMar>
            <w:vAlign w:val="center"/>
          </w:tcPr>
          <w:p>
            <w:pPr>
              <w:pStyle w:val="TableContents"/>
              <w:bidi w:val="0"/>
              <w:spacing w:before="0" w:after="283"/>
              <w:jc w:val="left"/>
              <w:rPr/>
            </w:pPr>
            <w:r>
              <w:rPr/>
              <w:t>RECORD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50</w:t>
            </w:r>
          </w:p>
        </w:tc>
      </w:tr>
      <w:tr>
        <w:trPr/>
        <w:tc>
          <w:tcPr>
            <w:tcW w:w="7340" w:type="dxa"/>
            <w:tcBorders/>
            <w:shd w:fill="CCEEFF" w:val="clear"/>
            <w:tcMar>
              <w:bottom w:w="0" w:type="dxa"/>
            </w:tcMar>
            <w:vAlign w:val="center"/>
          </w:tcPr>
          <w:p>
            <w:pPr>
              <w:pStyle w:val="TableContents"/>
              <w:bidi w:val="0"/>
              <w:spacing w:before="0" w:after="283"/>
              <w:jc w:val="left"/>
              <w:rPr/>
            </w:pPr>
            <w:r>
              <w:rPr/>
              <w:t>ANNUAL RETURNS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50</w:t>
            </w:r>
          </w:p>
        </w:tc>
      </w:tr>
      <w:tr>
        <w:trPr/>
        <w:tc>
          <w:tcPr>
            <w:tcW w:w="7340" w:type="dxa"/>
            <w:tcBorders/>
            <w:shd w:fill="FFFFFF" w:val="clear"/>
            <w:tcMar>
              <w:bottom w:w="0" w:type="dxa"/>
            </w:tcMar>
            <w:vAlign w:val="center"/>
          </w:tcPr>
          <w:p>
            <w:pPr>
              <w:pStyle w:val="TableContents"/>
              <w:bidi w:val="0"/>
              <w:spacing w:before="0" w:after="283"/>
              <w:jc w:val="left"/>
              <w:rPr/>
            </w:pPr>
            <w:r>
              <w:rPr/>
              <w:t>ACCOUNTS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51</w:t>
            </w:r>
          </w:p>
        </w:tc>
      </w:tr>
      <w:tr>
        <w:trPr/>
        <w:tc>
          <w:tcPr>
            <w:tcW w:w="7340" w:type="dxa"/>
            <w:tcBorders/>
            <w:shd w:fill="CCEEFF" w:val="clear"/>
            <w:tcMar>
              <w:bottom w:w="0" w:type="dxa"/>
            </w:tcMar>
            <w:vAlign w:val="center"/>
          </w:tcPr>
          <w:p>
            <w:pPr>
              <w:pStyle w:val="TableContents"/>
              <w:bidi w:val="0"/>
              <w:spacing w:before="0" w:after="283"/>
              <w:jc w:val="left"/>
              <w:rPr/>
            </w:pPr>
            <w:r>
              <w:rPr/>
              <w:t>AUDITORS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52</w:t>
            </w:r>
          </w:p>
        </w:tc>
      </w:tr>
      <w:tr>
        <w:trPr/>
        <w:tc>
          <w:tcPr>
            <w:tcW w:w="7340" w:type="dxa"/>
            <w:tcBorders/>
            <w:shd w:fill="FFFFFF" w:val="clear"/>
            <w:tcMar>
              <w:bottom w:w="0" w:type="dxa"/>
            </w:tcMar>
            <w:vAlign w:val="center"/>
          </w:tcPr>
          <w:p>
            <w:pPr>
              <w:pStyle w:val="TableContents"/>
              <w:bidi w:val="0"/>
              <w:spacing w:before="0" w:after="283"/>
              <w:jc w:val="left"/>
              <w:rPr/>
            </w:pPr>
            <w:r>
              <w:rPr/>
              <w:t>NOTICES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52</w:t>
            </w:r>
          </w:p>
        </w:tc>
      </w:tr>
      <w:tr>
        <w:trPr/>
        <w:tc>
          <w:tcPr>
            <w:tcW w:w="7340" w:type="dxa"/>
            <w:tcBorders/>
            <w:shd w:fill="CCEEFF" w:val="clear"/>
            <w:tcMar>
              <w:bottom w:w="0" w:type="dxa"/>
            </w:tcMar>
            <w:vAlign w:val="center"/>
          </w:tcPr>
          <w:p>
            <w:pPr>
              <w:pStyle w:val="TableContents"/>
              <w:bidi w:val="0"/>
              <w:spacing w:before="0" w:after="283"/>
              <w:jc w:val="left"/>
              <w:rPr/>
            </w:pPr>
            <w:r>
              <w:rPr/>
              <w:t>INFORMATION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55</w:t>
            </w:r>
          </w:p>
        </w:tc>
      </w:tr>
      <w:tr>
        <w:trPr/>
        <w:tc>
          <w:tcPr>
            <w:tcW w:w="7340" w:type="dxa"/>
            <w:tcBorders/>
            <w:shd w:fill="FFFFFF" w:val="clear"/>
            <w:tcMar>
              <w:bottom w:w="0" w:type="dxa"/>
            </w:tcMar>
            <w:vAlign w:val="center"/>
          </w:tcPr>
          <w:p>
            <w:pPr>
              <w:pStyle w:val="TableContents"/>
              <w:bidi w:val="0"/>
              <w:spacing w:before="0" w:after="283"/>
              <w:jc w:val="left"/>
              <w:rPr/>
            </w:pPr>
            <w:r>
              <w:rPr/>
              <w:t>WINDING 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55</w:t>
            </w:r>
          </w:p>
        </w:tc>
      </w:tr>
      <w:tr>
        <w:trPr/>
        <w:tc>
          <w:tcPr>
            <w:tcW w:w="7340" w:type="dxa"/>
            <w:tcBorders/>
            <w:shd w:fill="CCEEFF" w:val="clear"/>
            <w:tcMar>
              <w:bottom w:w="0" w:type="dxa"/>
            </w:tcMar>
            <w:vAlign w:val="center"/>
          </w:tcPr>
          <w:p>
            <w:pPr>
              <w:pStyle w:val="TableContents"/>
              <w:bidi w:val="0"/>
              <w:spacing w:before="0" w:after="283"/>
              <w:jc w:val="left"/>
              <w:rPr/>
            </w:pPr>
            <w:r>
              <w:rPr/>
              <w:t>INDEMNITY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56</w:t>
            </w:r>
          </w:p>
        </w:tc>
      </w:tr>
      <w:tr>
        <w:trPr/>
        <w:tc>
          <w:tcPr>
            <w:tcW w:w="7340" w:type="dxa"/>
            <w:tcBorders/>
            <w:shd w:fill="FFFFFF" w:val="clear"/>
            <w:tcMar>
              <w:bottom w:w="0" w:type="dxa"/>
            </w:tcMar>
            <w:vAlign w:val="center"/>
          </w:tcPr>
          <w:p>
            <w:pPr>
              <w:pStyle w:val="TableContents"/>
              <w:bidi w:val="0"/>
              <w:spacing w:before="0" w:after="283"/>
              <w:jc w:val="left"/>
              <w:rPr/>
            </w:pPr>
            <w:r>
              <w:rPr/>
              <w:t>UNTRACEABLE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56</w:t>
            </w:r>
          </w:p>
        </w:tc>
      </w:tr>
      <w:tr>
        <w:trPr/>
        <w:tc>
          <w:tcPr>
            <w:tcW w:w="7340" w:type="dxa"/>
            <w:tcBorders/>
            <w:shd w:fill="CCEEFF" w:val="clear"/>
            <w:tcMar>
              <w:bottom w:w="0" w:type="dxa"/>
            </w:tcMar>
            <w:vAlign w:val="center"/>
          </w:tcPr>
          <w:p>
            <w:pPr>
              <w:pStyle w:val="TableContents"/>
              <w:bidi w:val="0"/>
              <w:spacing w:before="0" w:after="283"/>
              <w:jc w:val="left"/>
              <w:rPr/>
            </w:pPr>
            <w:r>
              <w:rPr/>
              <w:t>DESTRUCTION OF DOCUMENTS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57</w:t>
            </w:r>
          </w:p>
        </w:tc>
      </w:tr>
      <w:tr>
        <w:trPr/>
        <w:tc>
          <w:tcPr>
            <w:tcW w:w="7340" w:type="dxa"/>
            <w:tcBorders/>
            <w:shd w:fill="FFFFFF" w:val="clear"/>
            <w:tcMar>
              <w:bottom w:w="0" w:type="dxa"/>
            </w:tcMar>
            <w:vAlign w:val="center"/>
          </w:tcPr>
          <w:p>
            <w:pPr>
              <w:pStyle w:val="TableContents"/>
              <w:bidi w:val="0"/>
              <w:spacing w:before="0" w:after="283"/>
              <w:jc w:val="left"/>
              <w:rPr/>
            </w:pPr>
            <w:r>
              <w:rPr/>
              <w:t>SUBSCRIPTION RIGHT RESERVE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center"/>
              <w:rPr/>
            </w:pPr>
            <w:r>
              <w:rPr/>
              <w:t>58</w:t>
            </w:r>
          </w:p>
        </w:tc>
      </w:tr>
      <w:tr>
        <w:trPr/>
        <w:tc>
          <w:tcPr>
            <w:tcW w:w="7340" w:type="dxa"/>
            <w:tcBorders/>
            <w:shd w:fill="CCEEFF" w:val="clear"/>
            <w:tcMar>
              <w:bottom w:w="0" w:type="dxa"/>
            </w:tcMar>
            <w:vAlign w:val="center"/>
          </w:tcPr>
          <w:p>
            <w:pPr>
              <w:pStyle w:val="TableContents"/>
              <w:bidi w:val="0"/>
              <w:spacing w:before="0" w:after="283"/>
              <w:jc w:val="left"/>
              <w:rPr/>
            </w:pPr>
            <w:r>
              <w:rPr/>
              <w:t>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center"/>
              <w:rPr/>
            </w:pPr>
            <w:r>
              <w:rPr/>
              <w:t>60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COMPANIES ACT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亞 盛 醫 藥 集 團</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DATED MAY 20, 2026) TABLE A</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15"/>
        <w:gridCol w:w="7370"/>
      </w:tblGrid>
      <w:tr>
        <w:trPr/>
        <w:tc>
          <w:tcPr>
            <w:tcW w:w="215" w:type="dxa"/>
            <w:tcBorders/>
            <w:vAlign w:val="center"/>
          </w:tcPr>
          <w:p>
            <w:pPr>
              <w:pStyle w:val="TableContents"/>
              <w:bidi w:val="0"/>
              <w:spacing w:before="0" w:after="283"/>
              <w:jc w:val="both"/>
              <w:rPr/>
            </w:pPr>
            <w:r>
              <w:rPr/>
              <w:t>1.</w:t>
            </w:r>
          </w:p>
        </w:tc>
        <w:tc>
          <w:tcPr>
            <w:tcW w:w="7370" w:type="dxa"/>
            <w:tcBorders/>
            <w:vAlign w:val="center"/>
          </w:tcPr>
          <w:p>
            <w:pPr>
              <w:pStyle w:val="TableContents"/>
              <w:bidi w:val="0"/>
              <w:spacing w:before="0" w:after="283"/>
              <w:jc w:val="both"/>
              <w:rPr/>
            </w:pPr>
            <w:r>
              <w:rPr/>
              <w:t>Table “A” of the Companies Act (as revised) shall not apply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both"/>
              <w:rPr/>
            </w:pPr>
            <w:r>
              <w:rPr/>
              <w:t>(a)</w:t>
            </w:r>
          </w:p>
        </w:tc>
        <w:tc>
          <w:tcPr>
            <w:tcW w:w="9910" w:type="dxa"/>
            <w:tcBorders/>
            <w:vAlign w:val="center"/>
          </w:tcPr>
          <w:p>
            <w:pPr>
              <w:pStyle w:val="TableContents"/>
              <w:bidi w:val="0"/>
              <w:spacing w:before="0" w:after="283"/>
              <w:jc w:val="both"/>
              <w:rPr/>
            </w:pPr>
            <w:r>
              <w:rPr/>
              <w:t>Any marginal notes, titles or lead in references to Articles and the index of the Memorandum and Articles of Association shall not form part of the Memorandum or Articles of Association and shall not affect their interpretation. In interpreting these Articles of Association, unless there be something in the subject or context inconsistent therewith: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shall have the ordinary meaning given to it and shall include any facsimile number, electronic number or address or website used for the purposes of any communication pursuant to these Articles;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appointor</w:t>
      </w:r>
      <w:r>
        <w:rPr>
          <w:rFonts w:ascii="Times New Roman;Times;Serif" w:hAnsi="Times New Roman;Times;Serif"/>
          <w:b w:val="false"/>
          <w:i w:val="false"/>
          <w:caps w:val="false"/>
          <w:smallCaps w:val="false"/>
          <w:sz w:val="20"/>
        </w:rPr>
        <w:t>” means in relation to an alternate Director, the Director who appointed the alternate to act as his alternate;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means these Articles of Association in their present form and all supplementary, amended or substituted articles for the time being in force;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means the persons appointed by the Company from time to time to perform the duties of auditors of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means the board of Directors of the Company as constituted from time to time or as the context may require the majority of Directors present and voting at a meeting of the Directors at which a quorum is present;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Branch Register</w:t>
      </w:r>
      <w:r>
        <w:rPr>
          <w:rFonts w:ascii="Times New Roman;Times;Serif" w:hAnsi="Times New Roman;Times;Serif"/>
          <w:b w:val="false"/>
          <w:i w:val="false"/>
          <w:caps w:val="false"/>
          <w:smallCaps w:val="false"/>
          <w:sz w:val="20"/>
        </w:rPr>
        <w:t>” means any branch register in respect of any category or categories of Shareholders of the Company established by the Company in accordance with the Companies Act;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Call</w:t>
      </w:r>
      <w:r>
        <w:rPr>
          <w:rFonts w:ascii="Times New Roman;Times;Serif" w:hAnsi="Times New Roman;Times;Serif"/>
          <w:b w:val="false"/>
          <w:i w:val="false"/>
          <w:caps w:val="false"/>
          <w:smallCaps w:val="false"/>
          <w:sz w:val="20"/>
        </w:rPr>
        <w:t>” shall include any instalment of a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Clearing House</w:t>
      </w:r>
      <w:r>
        <w:rPr>
          <w:rFonts w:ascii="Times New Roman;Times;Serif" w:hAnsi="Times New Roman;Times;Serif"/>
          <w:b w:val="false"/>
          <w:i w:val="false"/>
          <w:caps w:val="false"/>
          <w:smallCaps w:val="false"/>
          <w:sz w:val="20"/>
        </w:rPr>
        <w:t>” means a clearing house recognised by the laws of the jurisdiction in which the Shares of the Company are listed or quoted with the permission of the Company on a stock exchange in such jurisdiction;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Associate(s)</w:t>
      </w:r>
      <w:r>
        <w:rPr>
          <w:rFonts w:ascii="Times New Roman;Times;Serif" w:hAnsi="Times New Roman;Times;Serif"/>
          <w:b w:val="false"/>
          <w:i w:val="false"/>
          <w:caps w:val="false"/>
          <w:smallCaps w:val="false"/>
          <w:sz w:val="20"/>
        </w:rPr>
        <w:t>” shall have the meaning as defined in the Listing Rules;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means the Companies Act (as amended) of the Cayman Islands;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Companies Ordinance</w:t>
      </w:r>
      <w:r>
        <w:rPr>
          <w:rFonts w:ascii="Times New Roman;Times;Serif" w:hAnsi="Times New Roman;Times;Serif"/>
          <w:b w:val="false"/>
          <w:i w:val="false"/>
          <w:caps w:val="false"/>
          <w:smallCaps w:val="false"/>
          <w:sz w:val="20"/>
        </w:rPr>
        <w:t>” means the Companies Ordinance, Cap. 622 of the Laws of Hong Kong as amended from time to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above named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Debenture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Debenture Holder</w:t>
      </w:r>
      <w:r>
        <w:rPr>
          <w:rFonts w:ascii="Times New Roman;Times;Serif" w:hAnsi="Times New Roman;Times;Serif"/>
          <w:b w:val="false"/>
          <w:i w:val="false"/>
          <w:caps w:val="false"/>
          <w:smallCaps w:val="false"/>
          <w:sz w:val="20"/>
        </w:rPr>
        <w:t>” means and includes respectively debenture stock and debenture stockholder;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means such person or persons as shall be appointed to the Board from time to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w:t>
      </w:r>
      <w:r>
        <w:rPr>
          <w:rFonts w:ascii="Times New Roman;Times;Serif" w:hAnsi="Times New Roman;Times;Serif"/>
          <w:b w:val="false"/>
          <w:i w:val="false"/>
          <w:caps w:val="false"/>
          <w:smallCaps w:val="false"/>
          <w:sz w:val="20"/>
        </w:rPr>
        <w:t>” means dividends, distributions in specie or in kind, capital distributions and capitalisation issues;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communication</w:t>
      </w:r>
      <w:r>
        <w:rPr>
          <w:rFonts w:ascii="Times New Roman;Times;Serif" w:hAnsi="Times New Roman;Times;Serif"/>
          <w:b w:val="false"/>
          <w:i w:val="false"/>
          <w:caps w:val="false"/>
          <w:smallCaps w:val="false"/>
          <w:sz w:val="20"/>
        </w:rPr>
        <w:t>” means a communication sent, transmitted, conveyed and received by wire, by radio, by optical means or by other electromagnetic means in any form through any medium;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meeting</w:t>
      </w:r>
      <w:r>
        <w:rPr>
          <w:rFonts w:ascii="Times New Roman;Times;Serif" w:hAnsi="Times New Roman;Times;Serif"/>
          <w:b w:val="false"/>
          <w:i w:val="false"/>
          <w:caps w:val="false"/>
          <w:smallCaps w:val="false"/>
          <w:sz w:val="20"/>
        </w:rPr>
        <w:t>” means a general meeting held and conducted wholly and exclusively by virtual attendance and participation by Shareholders and/or proxies by means of electronic facilities;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Head Office</w:t>
      </w:r>
      <w:r>
        <w:rPr>
          <w:rFonts w:ascii="Times New Roman;Times;Serif" w:hAnsi="Times New Roman;Times;Serif"/>
          <w:b w:val="false"/>
          <w:i w:val="false"/>
          <w:caps w:val="false"/>
          <w:smallCaps w:val="false"/>
          <w:sz w:val="20"/>
        </w:rPr>
        <w:t>” means such office of the Company as the Board may from time to time determine to be the principal office of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HK Stock Exchange</w:t>
      </w:r>
      <w:r>
        <w:rPr>
          <w:rFonts w:ascii="Times New Roman;Times;Serif" w:hAnsi="Times New Roman;Times;Serif"/>
          <w:b w:val="false"/>
          <w:i w:val="false"/>
          <w:caps w:val="false"/>
          <w:smallCaps w:val="false"/>
          <w:sz w:val="20"/>
        </w:rPr>
        <w:t>” means The Stock Exchange of Hong Kong Limited;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HK$</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Hong Kong dollars</w:t>
      </w:r>
      <w:r>
        <w:rPr>
          <w:rFonts w:ascii="Times New Roman;Times;Serif" w:hAnsi="Times New Roman;Times;Serif"/>
          <w:b w:val="false"/>
          <w:i w:val="false"/>
          <w:caps w:val="false"/>
          <w:smallCaps w:val="false"/>
          <w:sz w:val="20"/>
        </w:rPr>
        <w:t>” means Hong Kong dollars, the lawful currency for the time being of Hong Kong;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Holding Company</w:t>
      </w:r>
      <w:r>
        <w:rPr>
          <w:rFonts w:ascii="Times New Roman;Times;Serif" w:hAnsi="Times New Roman;Times;Serif"/>
          <w:b w:val="false"/>
          <w:i w:val="false"/>
          <w:caps w:val="false"/>
          <w:smallCaps w:val="false"/>
          <w:sz w:val="20"/>
        </w:rPr>
        <w:t>” has the meaning ascribed to it by Section 13 of the Companies Ordinance;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Hong Kong</w:t>
      </w:r>
      <w:r>
        <w:rPr>
          <w:rFonts w:ascii="Times New Roman;Times;Serif" w:hAnsi="Times New Roman;Times;Serif"/>
          <w:b w:val="false"/>
          <w:i w:val="false"/>
          <w:caps w:val="false"/>
          <w:smallCaps w:val="false"/>
          <w:sz w:val="20"/>
        </w:rPr>
        <w:t>” means the Hong Kong Special Administrative Region of the People’s Republic of China;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hybrid meeting</w:t>
      </w:r>
      <w:r>
        <w:rPr>
          <w:rFonts w:ascii="Times New Roman;Times;Serif" w:hAnsi="Times New Roman;Times;Serif"/>
          <w:b w:val="false"/>
          <w:i w:val="false"/>
          <w:caps w:val="false"/>
          <w:smallCaps w:val="false"/>
          <w:sz w:val="20"/>
        </w:rPr>
        <w:t>” means a general meeting held and conducted by (i) physical attendance by Shareholders and/or proxies at the Principal Meeting Place and, where applicable, one or more other Meeting Locations and (ii) virtual attendance and participation by Shareholders and/or proxies by means of electronic facilities;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shall mean the Rules Governing the Listing of Securities on The Stock Exchange of Hong Kong Limited (as amended from time to time);</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Meeting Location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Meeting Locations</w:t>
      </w:r>
      <w:r>
        <w:rPr>
          <w:rFonts w:ascii="Times New Roman;Times;Serif" w:hAnsi="Times New Roman;Times;Serif"/>
          <w:b w:val="false"/>
          <w:i w:val="false"/>
          <w:caps w:val="false"/>
          <w:smallCaps w:val="false"/>
          <w:sz w:val="20"/>
        </w:rPr>
        <w:t>” have the meanings ascribed to them in Article 67;</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means a calendar month;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Newspapers</w:t>
      </w:r>
      <w:r>
        <w:rPr>
          <w:rFonts w:ascii="Times New Roman;Times;Serif" w:hAnsi="Times New Roman;Times;Serif"/>
          <w:b w:val="false"/>
          <w:i w:val="false"/>
          <w:caps w:val="false"/>
          <w:smallCaps w:val="false"/>
          <w:sz w:val="20"/>
        </w:rPr>
        <w:t>” means at least one English language daily newspaper and at least one Chinese language daily newspaper, in each case published and circulating generally in the Relevant Territory and specified or not excluded for this purpose by the stock exchange in the Relevant Territory;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means a resolution as described in Article 1(c)(ii) of these Articles;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Paid</w:t>
      </w:r>
      <w:r>
        <w:rPr>
          <w:rFonts w:ascii="Times New Roman;Times;Serif" w:hAnsi="Times New Roman;Times;Serif"/>
          <w:b w:val="false"/>
          <w:i w:val="false"/>
          <w:caps w:val="false"/>
          <w:smallCaps w:val="false"/>
          <w:sz w:val="20"/>
        </w:rPr>
        <w:t>” means, as it relates to a Share, paid or credited as paid;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person or entity permitted to act as such in accordance with the laws of the Cayman Islands;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meeting</w:t>
      </w:r>
      <w:r>
        <w:rPr>
          <w:rFonts w:ascii="Times New Roman;Times;Serif" w:hAnsi="Times New Roman;Times;Serif"/>
          <w:b w:val="false"/>
          <w:i w:val="false"/>
          <w:caps w:val="false"/>
          <w:smallCaps w:val="false"/>
          <w:sz w:val="20"/>
        </w:rPr>
        <w:t>” means a general meeting held and conducted by physical attendance and participation by Shareholders and/or proxies at the Principal Meeting Place and/or, where applicable, one or more other Meeting Locations;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Meeting Place</w:t>
      </w:r>
      <w:r>
        <w:rPr>
          <w:rFonts w:ascii="Times New Roman;Times;Serif" w:hAnsi="Times New Roman;Times;Serif"/>
          <w:b w:val="false"/>
          <w:i w:val="false"/>
          <w:caps w:val="false"/>
          <w:smallCaps w:val="false"/>
          <w:sz w:val="20"/>
        </w:rPr>
        <w:t>” has the meaning ascribed to it in Article 76; “</w:t>
      </w:r>
      <w:r>
        <w:rPr>
          <w:rFonts w:ascii="Times New Roman;Times;Serif" w:hAnsi="Times New Roman;Times;Serif"/>
          <w:b/>
          <w:i w:val="false"/>
          <w:caps w:val="false"/>
          <w:smallCaps w:val="false"/>
          <w:sz w:val="20"/>
        </w:rPr>
        <w:t>Principal Register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both"/>
              <w:rPr/>
            </w:pPr>
            <w:r>
              <w:rPr/>
              <w:t>(a)</w:t>
            </w:r>
          </w:p>
        </w:tc>
        <w:tc>
          <w:tcPr>
            <w:tcW w:w="9897" w:type="dxa"/>
            <w:tcBorders/>
            <w:vAlign w:val="center"/>
          </w:tcPr>
          <w:p>
            <w:pPr>
              <w:pStyle w:val="TableContents"/>
              <w:bidi w:val="0"/>
              <w:spacing w:before="0" w:after="283"/>
              <w:jc w:val="both"/>
              <w:rPr/>
            </w:pPr>
            <w:r>
              <w:rPr/>
              <w:t>where the Company has not established one or more Branch Registers pursuant to the Companies Act and these Articles, the register of Members of the Company required to be kept pursuant to the Companies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both"/>
              <w:rPr/>
            </w:pPr>
            <w:r>
              <w:rPr/>
              <w:t>(b)</w:t>
            </w:r>
          </w:p>
        </w:tc>
        <w:tc>
          <w:tcPr>
            <w:tcW w:w="9888" w:type="dxa"/>
            <w:tcBorders/>
            <w:vAlign w:val="center"/>
          </w:tcPr>
          <w:p>
            <w:pPr>
              <w:pStyle w:val="TableContents"/>
              <w:bidi w:val="0"/>
              <w:spacing w:before="0" w:after="283"/>
              <w:jc w:val="both"/>
              <w:rPr/>
            </w:pPr>
            <w:r>
              <w:rPr/>
              <w:t>where the Company has established one or more Branch Registers pursuant to the Companies Act and these Articles, the Register maintained by the Company pursuant to the Companies Act and these Articles that is not designated by the Directors as a Branch Register.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means the Principal Register and any Branch Register of Shareholders of the Company to be maintained at such place within or outside the Cayman Islands as the Board shall determine from time to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 means the registered office of the Company for the time being as required by the Companies Act;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Office</w:t>
      </w:r>
      <w:r>
        <w:rPr>
          <w:rFonts w:ascii="Times New Roman;Times;Serif" w:hAnsi="Times New Roman;Times;Serif"/>
          <w:b w:val="false"/>
          <w:i w:val="false"/>
          <w:caps w:val="false"/>
          <w:smallCaps w:val="false"/>
          <w:sz w:val="20"/>
        </w:rPr>
        <w:t>” means such place or places in the Relevant Territory or elsewhere where the Board from time to time determine to keep a Branch Register and where (except in cases where the Board otherwise agrees) transfers or other documents of title for the applicable Shares are to be lodged for registration and are to be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Period</w:t>
      </w:r>
      <w:r>
        <w:rPr>
          <w:rFonts w:ascii="Times New Roman;Times;Serif" w:hAnsi="Times New Roman;Times;Serif"/>
          <w:b w:val="false"/>
          <w:i w:val="false"/>
          <w:caps w:val="false"/>
          <w:smallCaps w:val="false"/>
          <w:sz w:val="20"/>
        </w:rPr>
        <w:t>” means the period commencing from the date on which any of the securities of the Company first become listed on the HK Stock Exchange to and including the date immediately before the day on which none of such securities are so listed (and so that if at any time listing of any such securities is suspended for any reason whatsoever and for any length of time, they shall nevertheless be treated, for the purpose of this definition, as listed);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Territory</w:t>
      </w:r>
      <w:r>
        <w:rPr>
          <w:rFonts w:ascii="Times New Roman;Times;Serif" w:hAnsi="Times New Roman;Times;Serif"/>
          <w:b w:val="false"/>
          <w:i w:val="false"/>
          <w:caps w:val="false"/>
          <w:smallCaps w:val="false"/>
          <w:sz w:val="20"/>
        </w:rPr>
        <w:t>” means Hong Kong or such other territory where any of the securities of the Company is listed on a stock exchange in that territory;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Seal</w:t>
      </w:r>
      <w:r>
        <w:rPr>
          <w:rFonts w:ascii="Times New Roman;Times;Serif" w:hAnsi="Times New Roman;Times;Serif"/>
          <w:b w:val="false"/>
          <w:i w:val="false"/>
          <w:caps w:val="false"/>
          <w:smallCaps w:val="false"/>
          <w:sz w:val="20"/>
        </w:rPr>
        <w:t>” means the common seal of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means any Person for the time being performing the duties of that office of the Company and includes any assistant, deputy, acting or temporary secretary;</w:t>
      </w:r>
    </w:p>
    <w:p>
      <w:pPr>
        <w:pStyle w:val="TextBody"/>
        <w:bidi w:val="0"/>
        <w:spacing w:before="0" w:after="0"/>
        <w:ind w:left="1440" w:right="0" w:hanging="1"/>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Seal</w:t>
      </w:r>
      <w:r>
        <w:rPr>
          <w:rFonts w:ascii="Times New Roman;Times;Serif" w:hAnsi="Times New Roman;Times;Serif"/>
          <w:b w:val="false"/>
          <w:i w:val="false"/>
          <w:caps w:val="false"/>
          <w:smallCaps w:val="false"/>
          <w:sz w:val="20"/>
        </w:rPr>
        <w:t>” means a seal for use for sealing certificates for shares or other securities issued by the Company which is a facsimile of the Seal of the Company with the addition on its face of the words Securities Seal;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share in the share capital of the Company and includes stock except where a distinction between stock and Shares is expressed or implied. All references to “Shares” herein shall be deemed to be Shares of any or all Classes or Series as the context may require. For the avoidance of doubt in these Articles the expression “Share” shall include a fraction of a Share;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means the person who is duly registered in the Register as holder for the time being of any Share and includes persons who are jointly so registered;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means a resolution as described in Article 1(c)(i) of these Articles;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has the meaning ascribed to it by Section 15 of the Companies Ordinance;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Office</w:t>
      </w:r>
      <w:r>
        <w:rPr>
          <w:rFonts w:ascii="Times New Roman;Times;Serif" w:hAnsi="Times New Roman;Times;Serif"/>
          <w:b w:val="false"/>
          <w:i w:val="false"/>
          <w:caps w:val="false"/>
          <w:smallCaps w:val="false"/>
          <w:sz w:val="20"/>
        </w:rPr>
        <w:t>” means the place where the Principal Register is located for the time being;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means Shares that were previously issued but were purchased, redeemed, surrendered or otherwise acquired by the Company and not cancelled.</w:t>
      </w:r>
    </w:p>
    <w:p>
      <w:pPr>
        <w:pStyle w:val="TextBody"/>
        <w:bidi w:val="0"/>
        <w:spacing w:before="0" w:after="0"/>
        <w:ind w:left="0" w:right="0" w:hanging="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90"/>
        <w:gridCol w:w="85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(b)</w:t>
            </w:r>
          </w:p>
        </w:tc>
        <w:tc>
          <w:tcPr>
            <w:tcW w:w="8540" w:type="dxa"/>
            <w:tcBorders/>
            <w:vAlign w:val="center"/>
          </w:tcPr>
          <w:p>
            <w:pPr>
              <w:pStyle w:val="TableContents"/>
              <w:bidi w:val="0"/>
              <w:spacing w:before="0" w:after="283"/>
              <w:jc w:val="both"/>
              <w:rPr/>
            </w:pPr>
            <w:r>
              <w:rPr/>
              <w:t>In these Articles, unless there be something in the subject or context inconsistent herewith:</w:t>
            </w:r>
          </w:p>
        </w:tc>
      </w:tr>
    </w:tbl>
    <w:p>
      <w:pPr>
        <w:pStyle w:val="TextBody"/>
        <w:bidi w:val="0"/>
        <w:spacing w:before="0" w:after="0"/>
        <w:ind w:left="0" w:right="0" w:hanging="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230"/>
        <w:gridCol w:w="78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7880" w:type="dxa"/>
            <w:tcBorders/>
            <w:vAlign w:val="center"/>
          </w:tcPr>
          <w:p>
            <w:pPr>
              <w:pStyle w:val="TableContents"/>
              <w:bidi w:val="0"/>
              <w:spacing w:before="0" w:after="283"/>
              <w:jc w:val="both"/>
              <w:rPr/>
            </w:pPr>
            <w:r>
              <w:rPr/>
              <w:t>words denoting the singular number shall include the plural number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both"/>
              <w:rPr/>
            </w:pPr>
            <w:r>
              <w:rPr/>
              <w:t>(ii)</w:t>
            </w:r>
          </w:p>
        </w:tc>
        <w:tc>
          <w:tcPr>
            <w:tcW w:w="9864" w:type="dxa"/>
            <w:tcBorders/>
            <w:vAlign w:val="center"/>
          </w:tcPr>
          <w:p>
            <w:pPr>
              <w:pStyle w:val="TableContents"/>
              <w:bidi w:val="0"/>
              <w:spacing w:before="0" w:after="283"/>
              <w:jc w:val="both"/>
              <w:rPr/>
            </w:pPr>
            <w:r>
              <w:rPr/>
              <w:t>words importing any gender shall include every gender and words importing persons shall include partnerships, firms, companies and corporations;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both"/>
              <w:rPr/>
            </w:pPr>
            <w:r>
              <w:rPr/>
              <w:t>(iii)</w:t>
            </w:r>
          </w:p>
        </w:tc>
        <w:tc>
          <w:tcPr>
            <w:tcW w:w="9837" w:type="dxa"/>
            <w:tcBorders/>
            <w:vAlign w:val="center"/>
          </w:tcPr>
          <w:p>
            <w:pPr>
              <w:pStyle w:val="TableContents"/>
              <w:bidi w:val="0"/>
              <w:spacing w:before="0" w:after="283"/>
              <w:jc w:val="both"/>
              <w:rPr/>
            </w:pPr>
            <w:r>
              <w:rPr/>
              <w:t>subject to the foregoing provisions of this Article, any words or expressions defined in the Companies Act (except any statutory modification thereof not in force when these Articles become binding on the Company) shall bear the same meaning in these Articles, save that “company” shall where the context permits include any company incorporated in the Cayman Islands or elsewhere;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2"/>
        <w:gridCol w:w="9808"/>
      </w:tblGrid>
      <w:tr>
        <w:trPr/>
        <w:tc>
          <w:tcPr>
            <w:tcW w:w="7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both"/>
              <w:rPr/>
            </w:pPr>
            <w:r>
              <w:rPr/>
              <w:t>(iv)</w:t>
            </w:r>
          </w:p>
        </w:tc>
        <w:tc>
          <w:tcPr>
            <w:tcW w:w="9808" w:type="dxa"/>
            <w:tcBorders/>
            <w:vAlign w:val="center"/>
          </w:tcPr>
          <w:p>
            <w:pPr>
              <w:pStyle w:val="TableContents"/>
              <w:bidi w:val="0"/>
              <w:spacing w:before="0" w:after="283"/>
              <w:jc w:val="both"/>
              <w:rPr/>
            </w:pPr>
            <w:r>
              <w:rPr/>
              <w:t>references to any statute or statutory provision shall be construed as relating to any statutory modification or re-enactment thereof for the time being in force;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both"/>
              <w:rPr/>
            </w:pPr>
            <w:r>
              <w:rPr/>
              <w:t>(v)</w:t>
            </w:r>
          </w:p>
        </w:tc>
        <w:tc>
          <w:tcPr>
            <w:tcW w:w="9907" w:type="dxa"/>
            <w:tcBorders/>
            <w:vAlign w:val="center"/>
          </w:tcPr>
          <w:p>
            <w:pPr>
              <w:pStyle w:val="TableContents"/>
              <w:bidi w:val="0"/>
              <w:spacing w:before="0" w:after="283"/>
              <w:jc w:val="both"/>
              <w:rPr/>
            </w:pPr>
            <w:r>
              <w:rPr/>
              <w:t>references to writing or similar expressions shall include printing, lithography, photography and other modes of representing or reproducing words or figures in a legible and non-transitory form or, to the extent permitted by and in accordance with the Companies Act and other applicable laws, rules and regulations, any visible substitute for writing (including an electronic communication), or modes of representing or reproducing words in visible form, and including where the representation or reproduction takes the form of an electronic display, provided that, where applicable, both the mode of service of the relevant document or notice and any Shareholder’s election comply with the Companies Act and all other applicable laws, rules and regulations;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(vi)</w:t>
            </w:r>
          </w:p>
        </w:tc>
        <w:tc>
          <w:tcPr>
            <w:tcW w:w="9840" w:type="dxa"/>
            <w:tcBorders/>
            <w:vAlign w:val="center"/>
          </w:tcPr>
          <w:p>
            <w:pPr>
              <w:pStyle w:val="TableContents"/>
              <w:bidi w:val="0"/>
              <w:spacing w:before="0" w:after="283"/>
              <w:jc w:val="both"/>
              <w:rPr/>
            </w:pPr>
            <w:r>
              <w:rPr/>
              <w:t>references to a document being signed or executed include references to it being signed or executed under hand or under seal or by electronic signature or by electronic communication or by any other method and references to a notice or document include a notice or document recorded or stored in any digital, electronic, electrical, magnetic or other retrievable form or medium and information in visible form whether having physical substance or not;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50"/>
        <w:gridCol w:w="97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both"/>
              <w:rPr/>
            </w:pPr>
            <w:r>
              <w:rPr/>
              <w:t>(vii)</w:t>
            </w:r>
          </w:p>
        </w:tc>
        <w:tc>
          <w:tcPr>
            <w:tcW w:w="9780" w:type="dxa"/>
            <w:tcBorders/>
            <w:vAlign w:val="center"/>
          </w:tcPr>
          <w:p>
            <w:pPr>
              <w:pStyle w:val="TableContents"/>
              <w:bidi w:val="0"/>
              <w:spacing w:before="0" w:after="283"/>
              <w:jc w:val="both"/>
              <w:rPr/>
            </w:pPr>
            <w:r>
              <w:rPr/>
              <w:t>a reference to a meeting shall mean a meeting convened and held in any manner permitted by these Articles and any Shareholder, proxy or Director virtually attending and participating at a meeting by means of electronic facilities shall be deemed to be present and participating at that meeting for all purposes of the Companies Act and these Articles, and attend, participate, attending, participating, attendance and participation shall be construed accordingly;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07"/>
        <w:gridCol w:w="9723"/>
      </w:tblGrid>
      <w:tr>
        <w:trPr/>
        <w:tc>
          <w:tcPr>
            <w:tcW w:w="75"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both"/>
              <w:rPr/>
            </w:pPr>
            <w:r>
              <w:rPr/>
              <w:t>(viii)</w:t>
            </w:r>
          </w:p>
        </w:tc>
        <w:tc>
          <w:tcPr>
            <w:tcW w:w="9723" w:type="dxa"/>
            <w:tcBorders/>
            <w:vAlign w:val="center"/>
          </w:tcPr>
          <w:p>
            <w:pPr>
              <w:pStyle w:val="TableContents"/>
              <w:bidi w:val="0"/>
              <w:spacing w:before="0" w:after="283"/>
              <w:jc w:val="both"/>
              <w:rPr/>
            </w:pPr>
            <w:r>
              <w:rPr/>
              <w:t>references to a person’s participation in the business of a general meeting include, without limitation, and as relevant, the right (including, in the case of a corporation, through a duly authorised representative) to speak or communicate, vote, be represented by a proxy and have access in hard copy or electronic form to all documents which are required by the Companies Act or these Articles to be made available at the meeting, and participate and participating in the business of a general meeting shall be construed accordingly;</w:t>
            </w:r>
          </w:p>
        </w:tc>
      </w:tr>
    </w:tbl>
    <w:p>
      <w:pPr>
        <w:pStyle w:val="TextBody"/>
        <w:bidi w:val="0"/>
        <w:spacing w:before="0" w:after="0"/>
        <w:ind w:left="0" w:right="0" w:hanging="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50"/>
        <w:gridCol w:w="848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both"/>
              <w:rPr/>
            </w:pPr>
            <w:r>
              <w:rPr/>
              <w:t>(ix)</w:t>
            </w:r>
          </w:p>
        </w:tc>
        <w:tc>
          <w:tcPr>
            <w:tcW w:w="8480" w:type="dxa"/>
            <w:tcBorders/>
            <w:vAlign w:val="center"/>
          </w:tcPr>
          <w:p>
            <w:pPr>
              <w:pStyle w:val="TableContents"/>
              <w:bidi w:val="0"/>
              <w:spacing w:before="0" w:after="283"/>
              <w:jc w:val="both"/>
              <w:rPr/>
            </w:pPr>
            <w:r>
              <w:rPr/>
              <w:t>references to a poll include, without limitation, a poll conducted using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both"/>
              <w:rPr/>
            </w:pPr>
            <w:r>
              <w:rPr/>
              <w:t>(x)</w:t>
            </w:r>
          </w:p>
        </w:tc>
        <w:tc>
          <w:tcPr>
            <w:tcW w:w="9864" w:type="dxa"/>
            <w:tcBorders/>
            <w:vAlign w:val="center"/>
          </w:tcPr>
          <w:p>
            <w:pPr>
              <w:pStyle w:val="TableContents"/>
              <w:bidi w:val="0"/>
              <w:spacing w:before="0" w:after="283"/>
              <w:jc w:val="both"/>
              <w:rPr/>
            </w:pPr>
            <w:r>
              <w:rPr/>
              <w:t>references to a vote, votes, voting or votes cast include, without limitation, a vote, votes, voting or votes cast in each case using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2"/>
        <w:gridCol w:w="9818"/>
      </w:tblGrid>
      <w:tr>
        <w:trPr/>
        <w:tc>
          <w:tcPr>
            <w:tcW w:w="75" w:type="dxa"/>
            <w:tcBorders/>
            <w:vAlign w:val="center"/>
          </w:tcPr>
          <w:p>
            <w:pPr>
              <w:pStyle w:val="TableContents"/>
              <w:bidi w:val="0"/>
              <w:spacing w:before="0" w:after="283"/>
              <w:jc w:val="left"/>
              <w:rPr/>
            </w:pPr>
            <w:r>
              <w:rPr/>
              <w:t> </w:t>
            </w:r>
          </w:p>
        </w:tc>
        <w:tc>
          <w:tcPr>
            <w:tcW w:w="312" w:type="dxa"/>
            <w:tcBorders/>
            <w:vAlign w:val="center"/>
          </w:tcPr>
          <w:p>
            <w:pPr>
              <w:pStyle w:val="TableContents"/>
              <w:bidi w:val="0"/>
              <w:spacing w:before="0" w:after="283"/>
              <w:jc w:val="both"/>
              <w:rPr/>
            </w:pPr>
            <w:r>
              <w:rPr/>
              <w:t>(xi)</w:t>
            </w:r>
          </w:p>
        </w:tc>
        <w:tc>
          <w:tcPr>
            <w:tcW w:w="9818" w:type="dxa"/>
            <w:tcBorders/>
            <w:vAlign w:val="center"/>
          </w:tcPr>
          <w:p>
            <w:pPr>
              <w:pStyle w:val="TableContents"/>
              <w:bidi w:val="0"/>
              <w:spacing w:before="0" w:after="283"/>
              <w:jc w:val="both"/>
              <w:rPr/>
            </w:pPr>
            <w:r>
              <w:rPr/>
              <w:t>references to attendance, attend, attending and attended include, without limitation, virtual attendance, attend virtually, attending virtually and virtually attended in each case using electronic facilities;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both"/>
              <w:rPr/>
            </w:pPr>
            <w:r>
              <w:rPr/>
              <w:t>(xii)</w:t>
            </w:r>
          </w:p>
        </w:tc>
        <w:tc>
          <w:tcPr>
            <w:tcW w:w="9747" w:type="dxa"/>
            <w:tcBorders/>
            <w:vAlign w:val="center"/>
          </w:tcPr>
          <w:p>
            <w:pPr>
              <w:pStyle w:val="TableContents"/>
              <w:bidi w:val="0"/>
              <w:spacing w:before="0" w:after="283"/>
              <w:jc w:val="both"/>
              <w:rPr/>
            </w:pPr>
            <w:r>
              <w:rPr/>
              <w:t>references to any person being present or being present in person include, without limitation, such person being virtually present using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27"/>
        <w:gridCol w:w="9703"/>
      </w:tblGrid>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both"/>
              <w:rPr/>
            </w:pPr>
            <w:r>
              <w:rPr/>
              <w:t>(xiii)</w:t>
            </w:r>
          </w:p>
        </w:tc>
        <w:tc>
          <w:tcPr>
            <w:tcW w:w="9703" w:type="dxa"/>
            <w:tcBorders/>
            <w:vAlign w:val="center"/>
          </w:tcPr>
          <w:p>
            <w:pPr>
              <w:pStyle w:val="TableContents"/>
              <w:bidi w:val="0"/>
              <w:spacing w:before="0" w:after="283"/>
              <w:jc w:val="both"/>
              <w:rPr/>
            </w:pPr>
            <w:r>
              <w:rPr/>
              <w:t>references to any person doing anything personally or being present personally include, without limitation, such person doing anything virtually using electronic facilities or being virtually present using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61"/>
        <w:gridCol w:w="9669"/>
      </w:tblGrid>
      <w:tr>
        <w:trPr/>
        <w:tc>
          <w:tcPr>
            <w:tcW w:w="75"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both"/>
              <w:rPr/>
            </w:pPr>
            <w:r>
              <w:rPr/>
              <w:t>(xiv)</w:t>
            </w:r>
          </w:p>
        </w:tc>
        <w:tc>
          <w:tcPr>
            <w:tcW w:w="9669" w:type="dxa"/>
            <w:tcBorders/>
            <w:vAlign w:val="center"/>
          </w:tcPr>
          <w:p>
            <w:pPr>
              <w:pStyle w:val="TableContents"/>
              <w:bidi w:val="0"/>
              <w:spacing w:before="0" w:after="283"/>
              <w:jc w:val="both"/>
              <w:rPr/>
            </w:pPr>
            <w:r>
              <w:rPr/>
              <w:t>references to any person voting in person include, without limitation, any person voting using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5"/>
        <w:gridCol w:w="9755"/>
      </w:tblGrid>
      <w:tr>
        <w:trPr/>
        <w:tc>
          <w:tcPr>
            <w:tcW w:w="75"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both"/>
              <w:rPr/>
            </w:pPr>
            <w:r>
              <w:rPr/>
              <w:t>(xv)</w:t>
            </w:r>
          </w:p>
        </w:tc>
        <w:tc>
          <w:tcPr>
            <w:tcW w:w="9755" w:type="dxa"/>
            <w:tcBorders/>
            <w:vAlign w:val="center"/>
          </w:tcPr>
          <w:p>
            <w:pPr>
              <w:pStyle w:val="TableContents"/>
              <w:bidi w:val="0"/>
              <w:spacing w:before="0" w:after="283"/>
              <w:jc w:val="both"/>
              <w:rPr/>
            </w:pPr>
            <w:r>
              <w:rPr/>
              <w:t>references to electronic facilities include, without limitation, website addresses, webinars, webcast, video or any form of conference call system (telephone, video, web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6"/>
        <w:gridCol w:w="9684"/>
      </w:tblGrid>
      <w:tr>
        <w:trPr/>
        <w:tc>
          <w:tcPr>
            <w:tcW w:w="75"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both"/>
              <w:rPr/>
            </w:pPr>
            <w:r>
              <w:rPr/>
              <w:t>(xvi)</w:t>
            </w:r>
          </w:p>
        </w:tc>
        <w:tc>
          <w:tcPr>
            <w:tcW w:w="9684" w:type="dxa"/>
            <w:tcBorders/>
            <w:vAlign w:val="center"/>
          </w:tcPr>
          <w:p>
            <w:pPr>
              <w:pStyle w:val="TableContents"/>
              <w:bidi w:val="0"/>
              <w:spacing w:before="0" w:after="283"/>
              <w:jc w:val="both"/>
              <w:rPr/>
            </w:pPr>
            <w:r>
              <w:rPr/>
              <w:t>references to any notice in writing include, without limitation, notices given by any electronic means or published on a website or websites;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2"/>
        <w:gridCol w:w="9628"/>
      </w:tblGrid>
      <w:tr>
        <w:trPr/>
        <w:tc>
          <w:tcPr>
            <w:tcW w:w="75" w:type="dxa"/>
            <w:tcBorders/>
            <w:vAlign w:val="center"/>
          </w:tcPr>
          <w:p>
            <w:pPr>
              <w:pStyle w:val="TableContents"/>
              <w:bidi w:val="0"/>
              <w:spacing w:before="0" w:after="283"/>
              <w:jc w:val="left"/>
              <w:rPr/>
            </w:pPr>
            <w:r>
              <w:rPr/>
              <w:t> </w:t>
            </w:r>
          </w:p>
        </w:tc>
        <w:tc>
          <w:tcPr>
            <w:tcW w:w="502" w:type="dxa"/>
            <w:tcBorders/>
            <w:vAlign w:val="center"/>
          </w:tcPr>
          <w:p>
            <w:pPr>
              <w:pStyle w:val="TableContents"/>
              <w:bidi w:val="0"/>
              <w:spacing w:before="0" w:after="283"/>
              <w:jc w:val="both"/>
              <w:rPr/>
            </w:pPr>
            <w:r>
              <w:rPr/>
              <w:t>(xvii)</w:t>
            </w:r>
          </w:p>
        </w:tc>
        <w:tc>
          <w:tcPr>
            <w:tcW w:w="9628" w:type="dxa"/>
            <w:tcBorders/>
            <w:vAlign w:val="center"/>
          </w:tcPr>
          <w:p>
            <w:pPr>
              <w:pStyle w:val="TableContents"/>
              <w:bidi w:val="0"/>
              <w:spacing w:before="0" w:after="283"/>
              <w:jc w:val="both"/>
              <w:rPr/>
            </w:pPr>
            <w:r>
              <w:rPr/>
              <w:t>where a Shareholder is a corporation, any reference in these Articles to a Shareholder shall include a duly authorised representative of such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both"/>
              <w:rPr/>
            </w:pPr>
            <w:r>
              <w:rPr/>
              <w:t>(c)</w:t>
            </w:r>
          </w:p>
        </w:tc>
        <w:tc>
          <w:tcPr>
            <w:tcW w:w="9896" w:type="dxa"/>
            <w:tcBorders/>
            <w:vAlign w:val="center"/>
          </w:tcPr>
          <w:p>
            <w:pPr>
              <w:pStyle w:val="TableContents"/>
              <w:bidi w:val="0"/>
              <w:spacing w:before="0" w:after="283"/>
              <w:jc w:val="both"/>
              <w:rPr/>
            </w:pPr>
            <w:r>
              <w:rPr/>
              <w:t>Subject to the preceding Articles, any words defined in the Companies Act shall, if not inconsistent with the subject or context, bear the same meaning in these Articles. In addition, for the purposes of these Articles: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(i)</w:t>
            </w:r>
          </w:p>
        </w:tc>
        <w:tc>
          <w:tcPr>
            <w:tcW w:w="9960" w:type="dxa"/>
            <w:tcBorders/>
            <w:vAlign w:val="center"/>
          </w:tcPr>
          <w:p>
            <w:pPr>
              <w:pStyle w:val="TableContents"/>
              <w:bidi w:val="0"/>
              <w:spacing w:before="0" w:after="283"/>
              <w:jc w:val="both"/>
              <w:rPr/>
            </w:pPr>
            <w:r>
              <w:rPr/>
              <w:t>at all times during the Relevant Period, a resolution shall be a Special Resolution when it has been passed by a majority of not less than ¾ of the votes cast by such Shareholders as, being entitled so to do, vote in person or by proxy or, in the cases of Shareholders which are corporations, by their respective duly authorised representatives at a general meeting of which notice specifying the intention to propose the resolution as a special resolution has been duly given;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(ii)</w:t>
            </w:r>
          </w:p>
        </w:tc>
        <w:tc>
          <w:tcPr>
            <w:tcW w:w="9898" w:type="dxa"/>
            <w:tcBorders/>
            <w:vAlign w:val="center"/>
          </w:tcPr>
          <w:p>
            <w:pPr>
              <w:pStyle w:val="TableContents"/>
              <w:bidi w:val="0"/>
              <w:spacing w:before="0" w:after="283"/>
              <w:jc w:val="both"/>
              <w:rPr/>
            </w:pPr>
            <w:r>
              <w:rPr/>
              <w:t>a resolution shall be an Ordinary Resolution when it has been passed by a simple majority of such Shareholders as, being entitled so to do, vote in person or, where proxies are allowed, by proxy or, in the case of any Shareholder being a corporation, by its duly authorised representative at a general meeting held in accordance with these Articles and of which not less than 14 days’ notice has been duly given;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both"/>
              <w:rPr/>
            </w:pPr>
            <w:r>
              <w:rPr/>
              <w:t>(iii)</w:t>
            </w:r>
          </w:p>
        </w:tc>
        <w:tc>
          <w:tcPr>
            <w:tcW w:w="9848" w:type="dxa"/>
            <w:tcBorders/>
            <w:vAlign w:val="center"/>
          </w:tcPr>
          <w:p>
            <w:pPr>
              <w:pStyle w:val="TableContents"/>
              <w:bidi w:val="0"/>
              <w:spacing w:before="0" w:after="283"/>
              <w:jc w:val="both"/>
              <w:rPr/>
            </w:pPr>
            <w:r>
              <w:rPr/>
              <w:t>a resolution in writing signed (in such manner as to indicate, expressly or impliedly, unconditional approval) by or on behalf of all Shareholders for the time being entitled to receive notice of and to attend and vote at general meetings of the Company shall, for the purpose of these Articles, be treated as an Ordinary Resolution duly passed at a general meeting of the Company duly convened and held and, where relevant as a Special Resolution so passed. Any such resolution shall be deemed to have been passed at a meeting held on the date on which it was signed by the last person to sign, and where the resolution states a date as being the date of his signature thereof by any Shareholder the statement shall be prima facie evidence that it was signed by him on that date. Such a resolution may consist of several documents in the like form, and signed by one or more relevant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both"/>
              <w:rPr/>
            </w:pPr>
            <w:r>
              <w:rPr/>
              <w:t>(d)</w:t>
            </w:r>
          </w:p>
        </w:tc>
        <w:tc>
          <w:tcPr>
            <w:tcW w:w="9867" w:type="dxa"/>
            <w:tcBorders/>
            <w:vAlign w:val="center"/>
          </w:tcPr>
          <w:p>
            <w:pPr>
              <w:pStyle w:val="TableContents"/>
              <w:bidi w:val="0"/>
              <w:spacing w:before="0" w:after="283"/>
              <w:jc w:val="both"/>
              <w:rPr/>
            </w:pPr>
            <w:r>
              <w:rPr/>
              <w:t>A Special Resolution shall be effective for any purpose for which an Ordinary Resolution is expressed to be required under any provision of these Articles.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(e)</w:t>
            </w:r>
          </w:p>
        </w:tc>
        <w:tc>
          <w:tcPr>
            <w:tcW w:w="9898" w:type="dxa"/>
            <w:tcBorders/>
            <w:vAlign w:val="center"/>
          </w:tcPr>
          <w:p>
            <w:pPr>
              <w:pStyle w:val="TableContents"/>
              <w:bidi w:val="0"/>
              <w:spacing w:before="0" w:after="283"/>
              <w:jc w:val="both"/>
              <w:rPr/>
            </w:pPr>
            <w:r>
              <w:rPr/>
              <w:t>Section 8 and Section 19 of the Electronic Transactions Act (as amended) of the Cayman Islands shall not apply to these Articles to the extent such impose obligations or requirements in addition to those set out in these Articles.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both"/>
              <w:rPr/>
            </w:pPr>
            <w:r>
              <w:rPr/>
              <w:t>2.</w:t>
            </w:r>
          </w:p>
        </w:tc>
        <w:tc>
          <w:tcPr>
            <w:tcW w:w="10029" w:type="dxa"/>
            <w:tcBorders/>
            <w:vAlign w:val="center"/>
          </w:tcPr>
          <w:p>
            <w:pPr>
              <w:pStyle w:val="TableContents"/>
              <w:bidi w:val="0"/>
              <w:spacing w:before="0" w:after="283"/>
              <w:jc w:val="both"/>
              <w:rPr/>
            </w:pPr>
            <w:r>
              <w:rPr/>
              <w:t>To the extent that the same is permissible under Cayman Islands law and subject to Article 13, a Special Resolution shall be required to alter the Memorandum of Association of the Company, to approve any amendment of the Articles or to change the name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WARRANTS AND MODIFICATION OF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both"/>
              <w:rPr/>
            </w:pPr>
            <w:r>
              <w:rPr/>
              <w:t>3.</w:t>
            </w:r>
          </w:p>
        </w:tc>
        <w:tc>
          <w:tcPr>
            <w:tcW w:w="10044" w:type="dxa"/>
            <w:tcBorders/>
            <w:vAlign w:val="center"/>
          </w:tcPr>
          <w:p>
            <w:pPr>
              <w:pStyle w:val="TableContents"/>
              <w:bidi w:val="0"/>
              <w:spacing w:before="0" w:after="283"/>
              <w:jc w:val="both"/>
              <w:rPr/>
            </w:pPr>
            <w:r>
              <w:rPr/>
              <w:t>Subject to the Listing Rules and without prejudice to any special rights or restrictions for the time being attaching to any Shares or any class of Shares including preference Shares, any Share may be issued upon such terms and conditions and with such preferred, deferred or other qualified or special rights, or such restrictions, whether in regard to Dividend, voting, return of capital or otherwise, as the Company may from time to time by Ordinary Resolution determine (or, in the absence of any such determination or so far as the same may not make specific provision, as the Board may determine) and any Share may be issued on the terms that it is liable to be redeemed upon the happening of a specified event or upon a given date and either at the option of the Company, or at the option of the holder. No Shares shall be issued to bearer.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both"/>
              <w:rPr/>
            </w:pPr>
            <w:r>
              <w:rPr/>
              <w:t>4.</w:t>
            </w:r>
          </w:p>
        </w:tc>
        <w:tc>
          <w:tcPr>
            <w:tcW w:w="10041" w:type="dxa"/>
            <w:tcBorders/>
            <w:vAlign w:val="center"/>
          </w:tcPr>
          <w:p>
            <w:pPr>
              <w:pStyle w:val="TableContents"/>
              <w:bidi w:val="0"/>
              <w:spacing w:before="0" w:after="283"/>
              <w:jc w:val="both"/>
              <w:rPr/>
            </w:pPr>
            <w:r>
              <w:rPr/>
              <w:t>Subject to the Listing Rules, the Board may issue warrants to subscribe for any class of Shares or other securities of the Company, which warrants may be issued on such terms as the Board may from time to time determine. Where warrants are issued to bearer, no certificate thereof shall be issued to replace one that has been lost unless the Board is satisfied beyond reasonable doubt that the original certificate thereof has been destroyed and the Company has received an indemnity in such form as the Board shall think fit with regard to the issue of any such replacement certificate.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206"/>
        <w:gridCol w:w="9839"/>
      </w:tblGrid>
      <w:tr>
        <w:trPr/>
        <w:tc>
          <w:tcPr>
            <w:tcW w:w="160" w:type="dxa"/>
            <w:tcBorders/>
            <w:vAlign w:val="center"/>
          </w:tcPr>
          <w:p>
            <w:pPr>
              <w:pStyle w:val="TableContents"/>
              <w:bidi w:val="0"/>
              <w:spacing w:before="0" w:after="283"/>
              <w:jc w:val="both"/>
              <w:rPr/>
            </w:pPr>
            <w:r>
              <w:rPr/>
              <w:t>5.</w:t>
            </w:r>
          </w:p>
        </w:tc>
        <w:tc>
          <w:tcPr>
            <w:tcW w:w="206" w:type="dxa"/>
            <w:tcBorders/>
            <w:vAlign w:val="center"/>
          </w:tcPr>
          <w:p>
            <w:pPr>
              <w:pStyle w:val="TableContents"/>
              <w:bidi w:val="0"/>
              <w:spacing w:before="0" w:after="283"/>
              <w:jc w:val="both"/>
              <w:rPr/>
            </w:pPr>
            <w:r>
              <w:rPr/>
              <w:t>(a)</w:t>
            </w:r>
          </w:p>
        </w:tc>
        <w:tc>
          <w:tcPr>
            <w:tcW w:w="9839" w:type="dxa"/>
            <w:tcBorders/>
            <w:vAlign w:val="center"/>
          </w:tcPr>
          <w:p>
            <w:pPr>
              <w:pStyle w:val="TableContents"/>
              <w:bidi w:val="0"/>
              <w:spacing w:before="0" w:after="283"/>
              <w:jc w:val="both"/>
              <w:rPr/>
            </w:pPr>
            <w:r>
              <w:rPr/>
              <w:t>If at any time the share capital of the Company is divided into different classes of Shares, all or any of the special rights attached to any class (unless otherwise provided for by the terms of issue of the Shares of that class) may, subject to the provisions of the Companies Act, be varied or abrogated either with the consent in writing of not less than three fourths of the voting rights of the holders of that class or with the sanction of a Special Resolution passed at a separate general meeting of the holders of the Shares of that class. To every such separate general meeting the provisions of these Articles relating to general meetings shall mutatis mutandis apply, but so that the necessary quorum shall be not less than persons holding (or, in the case of a Shareholder being a corporation, by its duly authorised representative) or representing by proxy holding one-third of the issued Shares of that class and that any holder of Shares of the class present in person (or in the case of the Shareholder being a corporation, by its duly authorised representative) or by proxy may demand a poll.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both"/>
              <w:rPr/>
            </w:pPr>
            <w:r>
              <w:rPr/>
              <w:t>(b)</w:t>
            </w:r>
          </w:p>
        </w:tc>
        <w:tc>
          <w:tcPr>
            <w:tcW w:w="9886" w:type="dxa"/>
            <w:tcBorders/>
            <w:vAlign w:val="center"/>
          </w:tcPr>
          <w:p>
            <w:pPr>
              <w:pStyle w:val="TableContents"/>
              <w:bidi w:val="0"/>
              <w:spacing w:before="0" w:after="283"/>
              <w:jc w:val="both"/>
              <w:rPr/>
            </w:pPr>
            <w:r>
              <w:rPr/>
              <w:t>The provisions of this Article shall apply to the variation or abrogation of the rights attached to the Shares of any class as if each group of Shares of the class differently treated formed a separate class the rights whereof are to be varied or abrogated.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both"/>
              <w:rPr/>
            </w:pPr>
            <w:r>
              <w:rPr/>
              <w:t>(c)</w:t>
            </w:r>
          </w:p>
        </w:tc>
        <w:tc>
          <w:tcPr>
            <w:tcW w:w="9904" w:type="dxa"/>
            <w:tcBorders/>
            <w:vAlign w:val="center"/>
          </w:tcPr>
          <w:p>
            <w:pPr>
              <w:pStyle w:val="TableContents"/>
              <w:bidi w:val="0"/>
              <w:spacing w:before="0" w:after="283"/>
              <w:jc w:val="both"/>
              <w:rPr/>
            </w:pPr>
            <w:r>
              <w:rPr/>
              <w:t>The special rights conferred upon the holders of any Shares or class of Shares shall not, unless otherwise expressly provided in the rights attaching to the terms of issue of such Shares be deemed to be altered by the creation or issue of further Shares ranking pari passu therewith.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both"/>
              <w:rPr/>
            </w:pPr>
            <w:r>
              <w:rPr/>
              <w:t>6.</w:t>
            </w:r>
          </w:p>
        </w:tc>
        <w:tc>
          <w:tcPr>
            <w:tcW w:w="10012" w:type="dxa"/>
            <w:tcBorders/>
            <w:vAlign w:val="center"/>
          </w:tcPr>
          <w:p>
            <w:pPr>
              <w:pStyle w:val="TableContents"/>
              <w:bidi w:val="0"/>
              <w:spacing w:before="0" w:after="283"/>
              <w:jc w:val="both"/>
              <w:rPr/>
            </w:pPr>
            <w:r>
              <w:rPr/>
              <w:t xml:space="preserve">The authorised share capital of the Company on the date of the adoption of these Articles is </w:t>
            </w:r>
            <w:r>
              <w:rPr>
                <w:b/>
              </w:rPr>
              <w:t>US$50,000</w:t>
            </w:r>
            <w:r>
              <w:rPr/>
              <w:t xml:space="preserve"> consisting of </w:t>
            </w:r>
            <w:r>
              <w:rPr>
                <w:b/>
              </w:rPr>
              <w:t>500,000,000</w:t>
            </w:r>
            <w:r>
              <w:rPr/>
              <w:t xml:space="preserve"> shares of </w:t>
            </w:r>
            <w:r>
              <w:rPr>
                <w:b/>
              </w:rPr>
              <w:t>US$0.0001</w:t>
            </w:r>
            <w:r>
              <w:rPr/>
              <w:t xml:space="preserve"> each.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pPr>
            <w:r>
              <w:rPr/>
              <w:t>7.</w:t>
            </w:r>
          </w:p>
        </w:tc>
        <w:tc>
          <w:tcPr>
            <w:tcW w:w="10040" w:type="dxa"/>
            <w:tcBorders/>
            <w:vAlign w:val="center"/>
          </w:tcPr>
          <w:p>
            <w:pPr>
              <w:pStyle w:val="TableContents"/>
              <w:bidi w:val="0"/>
              <w:spacing w:before="0" w:after="283"/>
              <w:jc w:val="both"/>
              <w:rPr/>
            </w:pPr>
            <w:r>
              <w:rPr/>
              <w:t>The Company in general meeting may from time to time, whether or not all the Shares for the time being authorised shall have been issued and whether or not all the Shares for the time being issued shall have been fully paid up, by Ordinary Resolution increase its share capital by the creation of new Shares, such new capital to be of such amount and to be divided into Shares of such class or classes and of such amounts in Hong Kong dollars or such other currency as the Shareholders may think fit and as the resolution may prescribe.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pPr>
            <w:r>
              <w:rPr/>
              <w:t>8.</w:t>
            </w:r>
          </w:p>
        </w:tc>
        <w:tc>
          <w:tcPr>
            <w:tcW w:w="10040" w:type="dxa"/>
            <w:tcBorders/>
            <w:vAlign w:val="center"/>
          </w:tcPr>
          <w:p>
            <w:pPr>
              <w:pStyle w:val="TableContents"/>
              <w:bidi w:val="0"/>
              <w:spacing w:before="0" w:after="283"/>
              <w:jc w:val="both"/>
              <w:rPr/>
            </w:pPr>
            <w:r>
              <w:rPr/>
              <w:t>Any new Shares shall be issued upon such terms and conditions and with such rights, privileges or restrictions attached thereto as the general meeting resolving upon the creation thereof shall direct, and if no direction be given, subject to the provisions of the Companies Act and of these Articles, as the Board shall determine; and in particular such Shares may be issued with a preferential or qualified right to participate in Dividends and in the distribution of assets of the Company and with a special right or without any right of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both"/>
              <w:rPr/>
            </w:pPr>
            <w:r>
              <w:rPr/>
              <w:t>9.</w:t>
            </w:r>
          </w:p>
        </w:tc>
        <w:tc>
          <w:tcPr>
            <w:tcW w:w="10041" w:type="dxa"/>
            <w:tcBorders/>
            <w:vAlign w:val="center"/>
          </w:tcPr>
          <w:p>
            <w:pPr>
              <w:pStyle w:val="TableContents"/>
              <w:bidi w:val="0"/>
              <w:spacing w:before="0" w:after="283"/>
              <w:jc w:val="both"/>
              <w:rPr/>
            </w:pPr>
            <w:r>
              <w:rPr/>
              <w:t>The Board may, before the issue of any new Shares, determine that the same, or any of them, shall be offered in the first instance, and either at par or at a premium, to all the existing holders of any class of Shares in proportion as nearly as may be to the number of Shares of such class held by them respectively, or make any other provisions as to the allotment and issue such Shares, but in default of any such determination or so far as the same shall not extend, such Shares may be dealt with as if they formed part of the capital of the Company existing prior to the issue of the same.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both"/>
              <w:rPr/>
            </w:pPr>
            <w:r>
              <w:rPr/>
              <w:t>10.</w:t>
            </w:r>
          </w:p>
        </w:tc>
        <w:tc>
          <w:tcPr>
            <w:tcW w:w="9917" w:type="dxa"/>
            <w:tcBorders/>
            <w:vAlign w:val="center"/>
          </w:tcPr>
          <w:p>
            <w:pPr>
              <w:pStyle w:val="TableContents"/>
              <w:bidi w:val="0"/>
              <w:spacing w:before="0" w:after="283"/>
              <w:jc w:val="both"/>
              <w:rPr/>
            </w:pPr>
            <w:r>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211"/>
        <w:gridCol w:w="9710"/>
      </w:tblGrid>
      <w:tr>
        <w:trPr/>
        <w:tc>
          <w:tcPr>
            <w:tcW w:w="284" w:type="dxa"/>
            <w:tcBorders/>
            <w:vAlign w:val="center"/>
          </w:tcPr>
          <w:p>
            <w:pPr>
              <w:pStyle w:val="TableContents"/>
              <w:bidi w:val="0"/>
              <w:spacing w:before="0" w:after="283"/>
              <w:jc w:val="both"/>
              <w:rPr/>
            </w:pPr>
            <w:r>
              <w:rPr/>
              <w:t>11.</w:t>
            </w:r>
          </w:p>
        </w:tc>
        <w:tc>
          <w:tcPr>
            <w:tcW w:w="211" w:type="dxa"/>
            <w:tcBorders/>
            <w:vAlign w:val="center"/>
          </w:tcPr>
          <w:p>
            <w:pPr>
              <w:pStyle w:val="TableContents"/>
              <w:bidi w:val="0"/>
              <w:spacing w:before="0" w:after="283"/>
              <w:jc w:val="both"/>
              <w:rPr/>
            </w:pPr>
            <w:r>
              <w:rPr/>
              <w:t>(a)</w:t>
            </w:r>
          </w:p>
        </w:tc>
        <w:tc>
          <w:tcPr>
            <w:tcW w:w="9710" w:type="dxa"/>
            <w:tcBorders/>
            <w:vAlign w:val="center"/>
          </w:tcPr>
          <w:p>
            <w:pPr>
              <w:pStyle w:val="TableContents"/>
              <w:bidi w:val="0"/>
              <w:spacing w:before="0" w:after="283"/>
              <w:jc w:val="both"/>
              <w:rPr/>
            </w:pPr>
            <w:r>
              <w:rPr/>
              <w:t>All unissued Shares and other securities of the Company shall be at the disposal of the Board and it may offer, allot (with or without conferring a right of renunciation), grant options over or otherwise dispose of them to such persons, at such times, for such consideration and generally on such terms (subject to Article 9) as it in its absolute discretion thinks fit, but so that no Shares shall be issued at a discount. The Board shall, as regards any offer or allotment of Shares, comply with the provisions of the Companies Act, if and so far as such provisions may be applicable thereto.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both"/>
              <w:rPr/>
            </w:pPr>
            <w:r>
              <w:rPr/>
              <w:t>(b)</w:t>
            </w:r>
          </w:p>
        </w:tc>
        <w:tc>
          <w:tcPr>
            <w:tcW w:w="9910" w:type="dxa"/>
            <w:tcBorders/>
            <w:vAlign w:val="center"/>
          </w:tcPr>
          <w:p>
            <w:pPr>
              <w:pStyle w:val="TableContents"/>
              <w:bidi w:val="0"/>
              <w:spacing w:before="0" w:after="283"/>
              <w:jc w:val="both"/>
              <w:rPr/>
            </w:pPr>
            <w:r>
              <w:rPr/>
              <w:t>Neither the Company nor the Board shall be obliged, when making or granting any allotment of, offer of, option over or disposal of Shares or other securities of the Company, to make, or make available, and may resolve not to make, or make available, any such allotment, offer, option or Shares or other securities to Shareholders or others with registered addresses in any jurisdiction outside of the Relevant Territory, or in any particular territory or territories being a territory or territories where, in the absence of a registration statement or other special formalities, this would or might, in the opinion of the Board, be unlawful or impracticable, or the existence or extent of the requirement for such registration statement or special formalities might be expensive (whether in absolute terms or in relation to the rights of the Shareholder(s) who may be affected) or time consuming to determine. The Board shall be entitled to make such arrangements to deal with fractional entitlements arising on an offer of any unissued Shares or other securities as it thinks fit, including the aggregation and the sale thereof for the benefit of the Company. Shareholders who may be affected as a result of any of the matters referred to in this paragraph (b) shall not be, and shall be deemed not to be, a separate class of Shareholders for any purposes whatsoever.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215"/>
        <w:gridCol w:w="9703"/>
      </w:tblGrid>
      <w:tr>
        <w:trPr/>
        <w:tc>
          <w:tcPr>
            <w:tcW w:w="287" w:type="dxa"/>
            <w:tcBorders/>
            <w:vAlign w:val="center"/>
          </w:tcPr>
          <w:p>
            <w:pPr>
              <w:pStyle w:val="TableContents"/>
              <w:bidi w:val="0"/>
              <w:spacing w:before="0" w:after="283"/>
              <w:jc w:val="both"/>
              <w:rPr/>
            </w:pPr>
            <w:r>
              <w:rPr/>
              <w:t>12.</w:t>
            </w:r>
          </w:p>
        </w:tc>
        <w:tc>
          <w:tcPr>
            <w:tcW w:w="215" w:type="dxa"/>
            <w:tcBorders/>
            <w:vAlign w:val="center"/>
          </w:tcPr>
          <w:p>
            <w:pPr>
              <w:pStyle w:val="TableContents"/>
              <w:bidi w:val="0"/>
              <w:spacing w:before="0" w:after="283"/>
              <w:jc w:val="both"/>
              <w:rPr/>
            </w:pPr>
            <w:r>
              <w:rPr/>
              <w:t>(a)</w:t>
            </w:r>
          </w:p>
        </w:tc>
        <w:tc>
          <w:tcPr>
            <w:tcW w:w="9703" w:type="dxa"/>
            <w:tcBorders/>
            <w:vAlign w:val="center"/>
          </w:tcPr>
          <w:p>
            <w:pPr>
              <w:pStyle w:val="TableContents"/>
              <w:bidi w:val="0"/>
              <w:spacing w:before="0" w:after="283"/>
              <w:jc w:val="both"/>
              <w:rPr/>
            </w:pPr>
            <w:r>
              <w:rPr/>
              <w:t>The Company may at any time pay commission to any person for subscribing or agreeing to subscribe (whether absolutely or conditionally) for any Shares or procuring or agreeing to procure subscriptions (whether absolute or conditional) for any Shares, but so that the conditions and requirements of the Companies Act shall be observed and complied with, and in each case the commission shall not exceed 10% of the price at which the Shares are issued.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pPr>
            <w:r>
              <w:rPr/>
              <w:t>(b)</w:t>
            </w:r>
          </w:p>
        </w:tc>
        <w:tc>
          <w:tcPr>
            <w:tcW w:w="9903" w:type="dxa"/>
            <w:tcBorders/>
            <w:vAlign w:val="center"/>
          </w:tcPr>
          <w:p>
            <w:pPr>
              <w:pStyle w:val="TableContents"/>
              <w:bidi w:val="0"/>
              <w:spacing w:before="0" w:after="283"/>
              <w:jc w:val="both"/>
              <w:rPr/>
            </w:pPr>
            <w:r>
              <w:rPr/>
              <w:t>If any Shares are issued for the purpose of raising money to defray the expenses of the construction of any works or buildings or the provision of any plant which cannot be made profitable within a period of one year, the Company may pay interest on so much of that share capital as is for the time being paid up for the period and, subject to any conditions and restrictions mentioned in the Companies Act, may charge the sum so paid by way of interest to capital as part of the cost of construction of the works or buildings, or the provisions of the plant.</w:t>
            </w:r>
          </w:p>
        </w:tc>
      </w:tr>
    </w:tbl>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35"/>
        <w:gridCol w:w="5900"/>
      </w:tblGrid>
      <w:tr>
        <w:trPr/>
        <w:tc>
          <w:tcPr>
            <w:tcW w:w="335" w:type="dxa"/>
            <w:tcBorders/>
            <w:vAlign w:val="center"/>
          </w:tcPr>
          <w:p>
            <w:pPr>
              <w:pStyle w:val="TableContents"/>
              <w:bidi w:val="0"/>
              <w:spacing w:before="0" w:after="283"/>
              <w:jc w:val="both"/>
              <w:rPr/>
            </w:pPr>
            <w:r>
              <w:rPr/>
              <w:t>13.</w:t>
            </w:r>
          </w:p>
        </w:tc>
        <w:tc>
          <w:tcPr>
            <w:tcW w:w="5900" w:type="dxa"/>
            <w:tcBorders/>
            <w:vAlign w:val="center"/>
          </w:tcPr>
          <w:p>
            <w:pPr>
              <w:pStyle w:val="TableContents"/>
              <w:bidi w:val="0"/>
              <w:spacing w:before="0" w:after="283"/>
              <w:jc w:val="both"/>
              <w:rPr/>
            </w:pPr>
            <w:r>
              <w:rPr/>
              <w:t>The Company may from time to time by Ordinary Resolution:</w:t>
            </w:r>
          </w:p>
        </w:tc>
      </w:tr>
    </w:tbl>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275"/>
        <w:gridCol w:w="47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pPr>
            <w:r>
              <w:rPr/>
              <w:t>(a)</w:t>
            </w:r>
          </w:p>
        </w:tc>
        <w:tc>
          <w:tcPr>
            <w:tcW w:w="4700" w:type="dxa"/>
            <w:tcBorders/>
            <w:vAlign w:val="center"/>
          </w:tcPr>
          <w:p>
            <w:pPr>
              <w:pStyle w:val="TableContents"/>
              <w:bidi w:val="0"/>
              <w:spacing w:before="0" w:after="283"/>
              <w:jc w:val="both"/>
              <w:rPr/>
            </w:pPr>
            <w:r>
              <w:rPr/>
              <w:t>increase its share capital as provided by Article 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consolidate or divide all or any of its share capital into Shares of larger or smaller amount than its existing Shares; and on any consolidation of fully paid Shares into Shares of larger amount, the Board may settle any difficulty which may arise as it thinks expedient and in particular (but without prejudice to the generality of the foregoing) may as between the holders of Shares to be consolidated determine which particular Shares are to be consolidated into a consolidated Share, and if it shall happen that any person shall become entitled to fractions of a consolidated Share or Shares, such fractions may be sold by some person appointed by the Board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 or may be paid to the Company for the Company’s benefit;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both"/>
              <w:rPr/>
            </w:pPr>
            <w:r>
              <w:rPr/>
              <w:t>(c)</w:t>
            </w:r>
          </w:p>
        </w:tc>
        <w:tc>
          <w:tcPr>
            <w:tcW w:w="9882" w:type="dxa"/>
            <w:tcBorders/>
            <w:vAlign w:val="center"/>
          </w:tcPr>
          <w:p>
            <w:pPr>
              <w:pStyle w:val="TableContents"/>
              <w:bidi w:val="0"/>
              <w:spacing w:before="0" w:after="283"/>
              <w:jc w:val="both"/>
              <w:rPr/>
            </w:pPr>
            <w:r>
              <w:rPr/>
              <w:t>divide its unissued Shares into several classes and attach thereto respectively any preferential, deferred, qualified or special rights, privileges or 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pPr>
            <w:r>
              <w:rPr/>
              <w:t>(d)</w:t>
            </w:r>
          </w:p>
        </w:tc>
        <w:tc>
          <w:tcPr>
            <w:tcW w:w="9903" w:type="dxa"/>
            <w:tcBorders/>
            <w:vAlign w:val="center"/>
          </w:tcPr>
          <w:p>
            <w:pPr>
              <w:pStyle w:val="TableContents"/>
              <w:bidi w:val="0"/>
              <w:spacing w:before="0" w:after="283"/>
              <w:jc w:val="both"/>
              <w:rPr/>
            </w:pPr>
            <w:r>
              <w:rPr/>
              <w:t>sub-divide its Shares or any of them into Shares of smaller amount than is fixed by the Memorandum of Association, subject nevertheless to the provisions of the Companies Act,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pPr>
            <w:r>
              <w:rPr/>
              <w:t>(e)</w:t>
            </w:r>
          </w:p>
        </w:tc>
        <w:tc>
          <w:tcPr>
            <w:tcW w:w="9895" w:type="dxa"/>
            <w:tcBorders/>
            <w:vAlign w:val="center"/>
          </w:tcPr>
          <w:p>
            <w:pPr>
              <w:pStyle w:val="TableContents"/>
              <w:bidi w:val="0"/>
              <w:spacing w:before="0" w:after="283"/>
              <w:jc w:val="both"/>
              <w:rPr/>
            </w:pPr>
            <w:r>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45"/>
        <w:gridCol w:w="8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(f)</w:t>
            </w:r>
          </w:p>
        </w:tc>
        <w:tc>
          <w:tcPr>
            <w:tcW w:w="8525" w:type="dxa"/>
            <w:tcBorders/>
            <w:vAlign w:val="center"/>
          </w:tcPr>
          <w:p>
            <w:pPr>
              <w:pStyle w:val="TableContents"/>
              <w:bidi w:val="0"/>
              <w:spacing w:before="0" w:after="283"/>
              <w:jc w:val="both"/>
              <w:rPr/>
            </w:pPr>
            <w:r>
              <w:rPr/>
              <w:t>make provision for the issue and allotment of Shares which do not carry any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290"/>
        <w:gridCol w:w="57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(g)</w:t>
            </w:r>
          </w:p>
        </w:tc>
        <w:tc>
          <w:tcPr>
            <w:tcW w:w="5765" w:type="dxa"/>
            <w:tcBorders/>
            <w:vAlign w:val="center"/>
          </w:tcPr>
          <w:p>
            <w:pPr>
              <w:pStyle w:val="TableContents"/>
              <w:bidi w:val="0"/>
              <w:spacing w:before="0" w:after="283"/>
              <w:jc w:val="both"/>
              <w:rPr/>
            </w:pPr>
            <w:r>
              <w:rPr/>
              <w:t>change the currency of denomination of its share capital;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both"/>
              <w:rPr/>
            </w:pPr>
            <w:r>
              <w:rPr/>
              <w:t>(h)</w:t>
            </w:r>
          </w:p>
        </w:tc>
        <w:tc>
          <w:tcPr>
            <w:tcW w:w="9844" w:type="dxa"/>
            <w:tcBorders/>
            <w:vAlign w:val="center"/>
          </w:tcPr>
          <w:p>
            <w:pPr>
              <w:pStyle w:val="TableContents"/>
              <w:bidi w:val="0"/>
              <w:spacing w:before="0" w:after="283"/>
              <w:jc w:val="both"/>
              <w:rPr/>
            </w:pPr>
            <w:r>
              <w:rPr/>
              <w:t>reduce its share premium account in any manner authorised, and subject to any conditions prescribed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both"/>
              <w:rPr/>
            </w:pPr>
            <w:r>
              <w:rPr/>
              <w:t>14.</w:t>
            </w:r>
          </w:p>
        </w:tc>
        <w:tc>
          <w:tcPr>
            <w:tcW w:w="9895" w:type="dxa"/>
            <w:tcBorders/>
            <w:vAlign w:val="center"/>
          </w:tcPr>
          <w:p>
            <w:pPr>
              <w:pStyle w:val="TableContents"/>
              <w:bidi w:val="0"/>
              <w:spacing w:before="0" w:after="283"/>
              <w:jc w:val="both"/>
              <w:rPr/>
            </w:pPr>
            <w:r>
              <w:rPr/>
              <w:t>The Company may by Special Resolution reduce its share capital or undistributable reserve in any manner authorised, and subject to any conditions prescribed,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203"/>
        <w:gridCol w:w="9725"/>
      </w:tblGrid>
      <w:tr>
        <w:trPr/>
        <w:tc>
          <w:tcPr>
            <w:tcW w:w="277" w:type="dxa"/>
            <w:tcBorders/>
            <w:vAlign w:val="center"/>
          </w:tcPr>
          <w:p>
            <w:pPr>
              <w:pStyle w:val="TableContents"/>
              <w:bidi w:val="0"/>
              <w:spacing w:before="0" w:after="283"/>
              <w:jc w:val="both"/>
              <w:rPr/>
            </w:pPr>
            <w:r>
              <w:rPr/>
              <w:t>15.</w:t>
            </w:r>
          </w:p>
        </w:tc>
        <w:tc>
          <w:tcPr>
            <w:tcW w:w="203" w:type="dxa"/>
            <w:tcBorders/>
            <w:vAlign w:val="center"/>
          </w:tcPr>
          <w:p>
            <w:pPr>
              <w:pStyle w:val="TableContents"/>
              <w:bidi w:val="0"/>
              <w:spacing w:before="0" w:after="283"/>
              <w:jc w:val="both"/>
              <w:rPr/>
            </w:pPr>
            <w:r>
              <w:rPr/>
              <w:t>(a)</w:t>
            </w:r>
          </w:p>
        </w:tc>
        <w:tc>
          <w:tcPr>
            <w:tcW w:w="9725" w:type="dxa"/>
            <w:tcBorders/>
            <w:vAlign w:val="center"/>
          </w:tcPr>
          <w:p>
            <w:pPr>
              <w:pStyle w:val="TableContents"/>
              <w:bidi w:val="0"/>
              <w:spacing w:before="0" w:after="283"/>
              <w:jc w:val="both"/>
              <w:rPr/>
            </w:pPr>
            <w:r>
              <w:rPr/>
              <w:t>Subject to the Companies Act, or any other law or so far as not prohibited by any law and subject to any rights conferred on the holders of any class of Shares, the Company shall have the power to purchase or otherwise acquire all or any of its own Shares (which expression as used in this Article includes redeemable Shares) provided that the manner and terms of purchase have first been authorised by an Ordinary Resolution of the Shareholders, and to purchase or otherwise acquire warrants and other securities for the subscription or purchase of its own Shares, and shares and warrants and other securities for the subscription or purchase of any shares in any company which is its Holding Company and may make payment therefor in any manner and terms authorised or not prohibited by law, including out of capital, or to give, directly or indirectly, by means of a loan, a guarantee, an indemnity, the provision of security or otherwise howsoever, financial assistance for the purpose of or in connection with a purchase or other acquisition made or to be made by any person of any Shares or warrants or other securities in the Company or any company which is a Holding Company of the Company and should the Company purchase or otherwise acquire its own Shares or warrants or other securities neither the Company nor the Board shall be required to select the Shares or warrants or other securities to be purchased or otherwise acquired rateably or in any other manner and terms as between the holders of Shares or warrants or other securities of the same class or as between them and the holders of Shares or warrants or other securities of any other class or in accordance with the rights as to Dividends or capital conferred by any class of Shares provided always that any such purchase or other acquisition or financial assistance shall only be made in accordance with the relevant code, rules or regulations issued from time to time by the HK Stock Exchange and/or the Securities and Futures Commission of Hong Kong from time to time in force.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both"/>
              <w:rPr/>
            </w:pPr>
            <w:r>
              <w:rPr/>
              <w:t>(b)</w:t>
            </w:r>
          </w:p>
        </w:tc>
        <w:tc>
          <w:tcPr>
            <w:tcW w:w="9899" w:type="dxa"/>
            <w:tcBorders/>
            <w:vAlign w:val="center"/>
          </w:tcPr>
          <w:p>
            <w:pPr>
              <w:pStyle w:val="TableContents"/>
              <w:bidi w:val="0"/>
              <w:spacing w:before="0" w:after="283"/>
              <w:jc w:val="both"/>
              <w:rPr/>
            </w:pPr>
            <w:r>
              <w:rPr/>
              <w:t>Subject to the provisions of the Companies Act and the Memorandum of Association of the Company, and to any special rights conferred on the holders of any Shares or attaching to any class of Shares, Shares may be issued on the terms that they may, at the option of the Company or the holders thereof, be liable to be redeemed on such terms and in such manner, including out of capital, as the Board may deem 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(c)</w:t>
            </w:r>
          </w:p>
        </w:tc>
        <w:tc>
          <w:tcPr>
            <w:tcW w:w="9900" w:type="dxa"/>
            <w:tcBorders/>
            <w:vAlign w:val="center"/>
          </w:tcPr>
          <w:p>
            <w:pPr>
              <w:pStyle w:val="TableContents"/>
              <w:bidi w:val="0"/>
              <w:spacing w:before="0" w:after="283"/>
              <w:jc w:val="both"/>
              <w:rPr/>
            </w:pPr>
            <w:r>
              <w:rPr/>
              <w:t>Where the Company purchases for redemption a redeemable Share, purchases not made through the market or by tender shall be limited to a maximum price, and if purchases are by tender, tenders shall be available to all Shareholders alike.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both"/>
              <w:rPr/>
            </w:pPr>
            <w:r>
              <w:rPr/>
              <w:t>(d)</w:t>
            </w:r>
          </w:p>
        </w:tc>
        <w:tc>
          <w:tcPr>
            <w:tcW w:w="9854" w:type="dxa"/>
            <w:tcBorders/>
            <w:vAlign w:val="center"/>
          </w:tcPr>
          <w:p>
            <w:pPr>
              <w:pStyle w:val="TableContents"/>
              <w:bidi w:val="0"/>
              <w:spacing w:before="0" w:after="283"/>
              <w:jc w:val="both"/>
              <w:rPr/>
            </w:pPr>
            <w:r>
              <w:rPr/>
              <w:t>The purchase or redemption of any Share shall not be deemed to give rise to the purchase or redemption of any other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both"/>
              <w:rPr/>
            </w:pPr>
            <w:r>
              <w:rPr/>
              <w:t>(e)</w:t>
            </w:r>
          </w:p>
        </w:tc>
        <w:tc>
          <w:tcPr>
            <w:tcW w:w="9907" w:type="dxa"/>
            <w:tcBorders/>
            <w:vAlign w:val="center"/>
          </w:tcPr>
          <w:p>
            <w:pPr>
              <w:pStyle w:val="TableContents"/>
              <w:bidi w:val="0"/>
              <w:spacing w:before="0" w:after="283"/>
              <w:jc w:val="both"/>
              <w:rPr/>
            </w:pPr>
            <w:r>
              <w:rPr/>
              <w:t>The holder of the Shares being purchased or redeemed shall be bound to deliver up to the Company at the Head Office or such other place as the Board shall specify the certificate(s) thereof for cancellation and thereupon the Company shall pay to him the purchase or redemption monies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SHAREHOLDERS AND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both"/>
              <w:rPr/>
            </w:pPr>
            <w:r>
              <w:rPr/>
              <w:t>16.</w:t>
            </w:r>
          </w:p>
        </w:tc>
        <w:tc>
          <w:tcPr>
            <w:tcW w:w="9921" w:type="dxa"/>
            <w:tcBorders/>
            <w:vAlign w:val="center"/>
          </w:tcPr>
          <w:p>
            <w:pPr>
              <w:pStyle w:val="TableContents"/>
              <w:bidi w:val="0"/>
              <w:spacing w:before="0" w:after="283"/>
              <w:jc w:val="both"/>
              <w:rPr/>
            </w:pPr>
            <w:r>
              <w:rPr/>
              <w:t>Except as otherwise expressly provided by these Articles or as required by law or as ordered by a court of competent jurisdiction, no person shall be recognised by the Company as holding any Share upon any trust and, except as aforesaid, the Company shall not be bound by or be compelled in any way to recognise (even when having notice thereof) any equitable, contingent, future or partial interest in any Share or any interest in any fractional part of a Share or any other right or claim to or in respect of any Shares except an absolute right to the entirety thereof of the registered 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257"/>
        <w:gridCol w:w="9628"/>
      </w:tblGrid>
      <w:tr>
        <w:trPr/>
        <w:tc>
          <w:tcPr>
            <w:tcW w:w="320" w:type="dxa"/>
            <w:tcBorders/>
            <w:vAlign w:val="center"/>
          </w:tcPr>
          <w:p>
            <w:pPr>
              <w:pStyle w:val="TableContents"/>
              <w:bidi w:val="0"/>
              <w:spacing w:before="0" w:after="283"/>
              <w:jc w:val="both"/>
              <w:rPr/>
            </w:pPr>
            <w:r>
              <w:rPr/>
              <w:t>17.</w:t>
            </w:r>
          </w:p>
        </w:tc>
        <w:tc>
          <w:tcPr>
            <w:tcW w:w="257" w:type="dxa"/>
            <w:tcBorders/>
            <w:vAlign w:val="center"/>
          </w:tcPr>
          <w:p>
            <w:pPr>
              <w:pStyle w:val="TableContents"/>
              <w:bidi w:val="0"/>
              <w:spacing w:before="0" w:after="283"/>
              <w:jc w:val="both"/>
              <w:rPr/>
            </w:pPr>
            <w:r>
              <w:rPr/>
              <w:t>(a)</w:t>
            </w:r>
          </w:p>
        </w:tc>
        <w:tc>
          <w:tcPr>
            <w:tcW w:w="9628" w:type="dxa"/>
            <w:tcBorders/>
            <w:vAlign w:val="center"/>
          </w:tcPr>
          <w:p>
            <w:pPr>
              <w:pStyle w:val="TableContents"/>
              <w:bidi w:val="0"/>
              <w:spacing w:before="0" w:after="283"/>
              <w:jc w:val="both"/>
              <w:rPr/>
            </w:pPr>
            <w:r>
              <w:rPr/>
              <w:t>The Board shall cause to be kept the Register and there shall be entered therein the particulars required under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both"/>
              <w:rPr/>
            </w:pPr>
            <w:r>
              <w:rPr/>
              <w:t>(b)</w:t>
            </w:r>
          </w:p>
        </w:tc>
        <w:tc>
          <w:tcPr>
            <w:tcW w:w="9894" w:type="dxa"/>
            <w:tcBorders/>
            <w:vAlign w:val="center"/>
          </w:tcPr>
          <w:p>
            <w:pPr>
              <w:pStyle w:val="TableContents"/>
              <w:bidi w:val="0"/>
              <w:spacing w:before="0" w:after="283"/>
              <w:jc w:val="both"/>
              <w:rPr/>
            </w:pPr>
            <w:r>
              <w:rPr/>
              <w:t>Subject to the provisions of the Companies Act, if the Board considers it necessary or appropriate, the Company may establish and maintain a Principal Register or Branch Register at such location as the Board thinks fit and, during the Relevant Period, the Company shall keep its Principal Register or Branch Register in Hong Kong.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both"/>
              <w:rPr/>
            </w:pPr>
            <w:r>
              <w:rPr/>
              <w:t>(c)</w:t>
            </w:r>
          </w:p>
        </w:tc>
        <w:tc>
          <w:tcPr>
            <w:tcW w:w="9916" w:type="dxa"/>
            <w:tcBorders/>
            <w:vAlign w:val="center"/>
          </w:tcPr>
          <w:p>
            <w:pPr>
              <w:pStyle w:val="TableContents"/>
              <w:bidi w:val="0"/>
              <w:spacing w:before="0" w:after="283"/>
              <w:jc w:val="both"/>
              <w:rPr/>
            </w:pPr>
            <w:r>
              <w:rPr/>
              <w:t>During the Relevant Period (except when the Register is closed on terms equivalent to section 632 of the Companies Ordinance) as at the date of the adoption of these Articles (or its equivalent provisions from time to time), any Shareholder may inspect during business hours any Register maintained in Hong Kong without charge and require the provision to him of copies or extracts thereof in all respects as if the Company were incorporated under and were subject to the Companies Ordinance.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both"/>
              <w:rPr/>
            </w:pPr>
            <w:r>
              <w:rPr/>
              <w:t>(d)</w:t>
            </w:r>
          </w:p>
        </w:tc>
        <w:tc>
          <w:tcPr>
            <w:tcW w:w="9860" w:type="dxa"/>
            <w:tcBorders/>
            <w:vAlign w:val="center"/>
          </w:tcPr>
          <w:p>
            <w:pPr>
              <w:pStyle w:val="TableContents"/>
              <w:bidi w:val="0"/>
              <w:spacing w:before="0" w:after="283"/>
              <w:jc w:val="both"/>
              <w:rPr/>
            </w:pPr>
            <w:r>
              <w:rPr/>
              <w:t>The Register may be closed at such time or for such period not exceeding in the whole 30 days in each year as the Board may determine.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203"/>
        <w:gridCol w:w="9724"/>
      </w:tblGrid>
      <w:tr>
        <w:trPr/>
        <w:tc>
          <w:tcPr>
            <w:tcW w:w="278" w:type="dxa"/>
            <w:tcBorders/>
            <w:vAlign w:val="center"/>
          </w:tcPr>
          <w:p>
            <w:pPr>
              <w:pStyle w:val="TableContents"/>
              <w:bidi w:val="0"/>
              <w:spacing w:before="0" w:after="283"/>
              <w:jc w:val="both"/>
              <w:rPr/>
            </w:pPr>
            <w:r>
              <w:rPr/>
              <w:t>18.</w:t>
            </w:r>
          </w:p>
        </w:tc>
        <w:tc>
          <w:tcPr>
            <w:tcW w:w="203" w:type="dxa"/>
            <w:tcBorders/>
            <w:vAlign w:val="center"/>
          </w:tcPr>
          <w:p>
            <w:pPr>
              <w:pStyle w:val="TableContents"/>
              <w:bidi w:val="0"/>
              <w:spacing w:before="0" w:after="283"/>
              <w:jc w:val="both"/>
              <w:rPr/>
            </w:pPr>
            <w:r>
              <w:rPr/>
              <w:t>(a)</w:t>
            </w:r>
          </w:p>
        </w:tc>
        <w:tc>
          <w:tcPr>
            <w:tcW w:w="9724" w:type="dxa"/>
            <w:tcBorders/>
            <w:vAlign w:val="center"/>
          </w:tcPr>
          <w:p>
            <w:pPr>
              <w:pStyle w:val="TableContents"/>
              <w:bidi w:val="0"/>
              <w:spacing w:before="0" w:after="283"/>
              <w:jc w:val="both"/>
              <w:rPr/>
            </w:pPr>
            <w:r>
              <w:rPr/>
              <w:t>Every person whose name is entered as a Shareholder in the Register shall be entitled to receive within the relevant time limit as prescribed in the Companies Act or as the HK Stock Exchange may from time to time determine, whichever is shorter, after allotment or lodgement of a transfer (or within such other period as the conditions of issue shall provide or is required by the applicable rules of the stock exchange of the Relevant Territory) one certificate for all his Shares, or, if he shall so request, in a case where the allotment or transfer is of a number of Shares in excess of the number for the time being forming a stock exchange board lot for the purposes of the stock exchange of the Relevant Territory on which the Shares are listed upon payment of such sum (in the case of a transfer, not exceeding in the case of any share capital listed on a stock exchange in Hong Kong, HK$2.50 or such other sum as may from time to time be allowed or not prohibited under the Listing Rules, and in the case of any other Shares, such sum in such currency as the Board may from time to time determine to be reasonable in the territory in which the relevant Register is situated, or otherwise such other sum as the Company may by Ordinary Resolution determine) for every certificate after the first as the Board may from time to time determine, such number of certificates for Shares in stock exchange board lots or whole multiples thereof as he shall request and one for the balance (if any) of the Shares in question, provided that in respect of a Share or Shares held jointly by several persons the Company shall not be bound to issue a certificate or certificates to each such person, and the issue and delivery of a certificate or certificates to one of the joint holders shall be sufficient delivery to all such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both"/>
              <w:rPr/>
            </w:pPr>
            <w:r>
              <w:rPr/>
              <w:t>(b)</w:t>
            </w:r>
          </w:p>
        </w:tc>
        <w:tc>
          <w:tcPr>
            <w:tcW w:w="9905" w:type="dxa"/>
            <w:tcBorders/>
            <w:vAlign w:val="center"/>
          </w:tcPr>
          <w:p>
            <w:pPr>
              <w:pStyle w:val="TableContents"/>
              <w:bidi w:val="0"/>
              <w:spacing w:before="0" w:after="283"/>
              <w:jc w:val="both"/>
              <w:rPr/>
            </w:pPr>
            <w:r>
              <w:rPr/>
              <w:t>The Company may, in the event of a change in the form of definitive Share certificate adopted by the Board, issue new definitive certificates to all holders of Shares appearing on the Register in replacement of old definitive certificates issued to such holders. The Board may resolve whether or not to require the return of the old certificates as a condition precedent to the issue of replacement certificates and, as regards any old certificates which have been lost or defaced, to impose such conditions (including as to indemnity) as the Board shall see fit. If the Board elects not to require the return of the old certificates, the same shall be deemed to have been cancelled and of no further effect for all purposes.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both"/>
              <w:rPr/>
            </w:pPr>
            <w:r>
              <w:rPr/>
              <w:t>19.</w:t>
            </w:r>
          </w:p>
        </w:tc>
        <w:tc>
          <w:tcPr>
            <w:tcW w:w="9902" w:type="dxa"/>
            <w:tcBorders/>
            <w:vAlign w:val="center"/>
          </w:tcPr>
          <w:p>
            <w:pPr>
              <w:pStyle w:val="TableContents"/>
              <w:bidi w:val="0"/>
              <w:spacing w:before="0" w:after="283"/>
              <w:jc w:val="both"/>
              <w:rPr/>
            </w:pPr>
            <w:r>
              <w:rPr/>
              <w:t>Every certificate for Shares, warrants or debentures or representing any other form of securities of the Company shall be issued under the Seal of the Company, which for this purpose may be a duplicate Seal.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both"/>
              <w:rPr/>
            </w:pPr>
            <w:r>
              <w:rPr/>
              <w:t>20.</w:t>
            </w:r>
          </w:p>
        </w:tc>
        <w:tc>
          <w:tcPr>
            <w:tcW w:w="9922" w:type="dxa"/>
            <w:tcBorders/>
            <w:vAlign w:val="center"/>
          </w:tcPr>
          <w:p>
            <w:pPr>
              <w:pStyle w:val="TableContents"/>
              <w:bidi w:val="0"/>
              <w:spacing w:before="0" w:after="283"/>
              <w:jc w:val="both"/>
              <w:rPr/>
            </w:pPr>
            <w:r>
              <w:rPr/>
              <w:t>Every share certificate hereafter issued shall specify the number and class of Shares in respect of which it is issued and the amount paid thereon and may otherwise be in such form as the Board may from time to time prescribe. A share certificate shall relate to only one class of Shares, and where the capital of the Company includes Shares with different voting rights, the designation of each class of Shares, other than those which carry the general right to vote at general meetings, must include the words “restricted voting” or “limited voting” or “non-voting” or some other appropriate designation which is commensurate with the rights attaching to the relevant class of Shares.</w:t>
            </w:r>
          </w:p>
        </w:tc>
      </w:tr>
    </w:tbl>
    <w:p>
      <w:pPr>
        <w:pStyle w:val="TextBody"/>
        <w:bidi w:val="0"/>
        <w:spacing w:before="0" w:after="0"/>
        <w:ind w:left="0" w:right="0" w:hanging="0"/>
        <w:jc w:val="both"/>
        <w:rPr>
          <w:caps w:val="false"/>
          <w:smallCaps w:val="false"/>
        </w:rPr>
      </w:pPr>
      <w:r>
        <w:rPr>
          <w:caps w:val="false"/>
          <w:smallCaps w:val="false"/>
        </w:rPr>
        <w:t> </w:t>
      </w:r>
    </w:p>
    <w:tbl>
      <w:tblPr>
        <w:tblW w:w="9840" w:type="dxa"/>
        <w:jc w:val="left"/>
        <w:tblInd w:w="0" w:type="dxa"/>
        <w:tblLayout w:type="fixed"/>
        <w:tblCellMar>
          <w:top w:w="0" w:type="dxa"/>
          <w:left w:w="0" w:type="dxa"/>
          <w:bottom w:w="0" w:type="dxa"/>
          <w:right w:w="0" w:type="dxa"/>
        </w:tblCellMar>
      </w:tblPr>
      <w:tblGrid>
        <w:gridCol w:w="335"/>
        <w:gridCol w:w="275"/>
        <w:gridCol w:w="9230"/>
      </w:tblGrid>
      <w:tr>
        <w:trPr/>
        <w:tc>
          <w:tcPr>
            <w:tcW w:w="335" w:type="dxa"/>
            <w:tcBorders/>
            <w:vAlign w:val="center"/>
          </w:tcPr>
          <w:p>
            <w:pPr>
              <w:pStyle w:val="TableContents"/>
              <w:bidi w:val="0"/>
              <w:spacing w:before="0" w:after="283"/>
              <w:jc w:val="both"/>
              <w:rPr/>
            </w:pPr>
            <w:r>
              <w:rPr/>
              <w:t>21.</w:t>
            </w:r>
          </w:p>
        </w:tc>
        <w:tc>
          <w:tcPr>
            <w:tcW w:w="275" w:type="dxa"/>
            <w:tcBorders/>
            <w:vAlign w:val="center"/>
          </w:tcPr>
          <w:p>
            <w:pPr>
              <w:pStyle w:val="TableContents"/>
              <w:bidi w:val="0"/>
              <w:spacing w:before="0" w:after="283"/>
              <w:jc w:val="both"/>
              <w:rPr/>
            </w:pPr>
            <w:r>
              <w:rPr/>
              <w:t>(a)</w:t>
            </w:r>
          </w:p>
        </w:tc>
        <w:tc>
          <w:tcPr>
            <w:tcW w:w="9230" w:type="dxa"/>
            <w:tcBorders/>
            <w:vAlign w:val="center"/>
          </w:tcPr>
          <w:p>
            <w:pPr>
              <w:pStyle w:val="TableContents"/>
              <w:bidi w:val="0"/>
              <w:spacing w:before="0" w:after="283"/>
              <w:jc w:val="both"/>
              <w:rPr/>
            </w:pPr>
            <w:r>
              <w:rPr/>
              <w:t>The Company shall not be bound to register more than four persons as joint holders of any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(b)</w:t>
            </w:r>
          </w:p>
        </w:tc>
        <w:tc>
          <w:tcPr>
            <w:tcW w:w="9891" w:type="dxa"/>
            <w:tcBorders/>
            <w:vAlign w:val="center"/>
          </w:tcPr>
          <w:p>
            <w:pPr>
              <w:pStyle w:val="TableContents"/>
              <w:bidi w:val="0"/>
              <w:spacing w:before="0" w:after="283"/>
              <w:jc w:val="both"/>
              <w:rPr/>
            </w:pPr>
            <w:r>
              <w:rPr/>
              <w:t>If any Shares shall stand in the names of two or more persons, the person first named in the Register shall be deemed to be sole holder thereof as regards service of notice and, subject to the provisions of these Articles, all or any other matter connected with the Company, except the transfer of the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both"/>
              <w:rPr/>
            </w:pPr>
            <w:r>
              <w:rPr/>
              <w:t>22.</w:t>
            </w:r>
          </w:p>
        </w:tc>
        <w:tc>
          <w:tcPr>
            <w:tcW w:w="9925" w:type="dxa"/>
            <w:tcBorders/>
            <w:vAlign w:val="center"/>
          </w:tcPr>
          <w:p>
            <w:pPr>
              <w:pStyle w:val="TableContents"/>
              <w:bidi w:val="0"/>
              <w:spacing w:before="0" w:after="283"/>
              <w:jc w:val="both"/>
              <w:rPr/>
            </w:pPr>
            <w:r>
              <w:rPr/>
              <w:t>If a share certificate is defaced, lost or destroyed, it may be replaced on payment of such fee, if any, (not exceeding, in the case of any share capital listed on a stock exchange in Hong Kong, HK$2.50 or such other sum as may from time to time be allowed or not prohibited under the Listing Rules, and, in the case of any other capital, such sum in such currency as the Board may from time to time determine to be reasonable in the territory in which the relevant Register is situated, or such other sum as the Company may by Ordinary Resolution determine) as the Board shall from time to time determine and on such terms and conditions, if any, as to publication of notices, evidence and indemnity as the Board thinks fit and in the case of wearing out or defacement, after delivery up of the old certificate. In the case of destruction or loss, the person to whom such replacement certificate is given shall also bear and pay to the Company all costs and out-of-pocket expenses incidental to the investigation by the Company of the evidence of such destruction or loss and of such indemnity.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both"/>
              <w:rPr/>
            </w:pPr>
            <w:r>
              <w:rPr/>
              <w:t>23.</w:t>
            </w:r>
          </w:p>
        </w:tc>
        <w:tc>
          <w:tcPr>
            <w:tcW w:w="9926" w:type="dxa"/>
            <w:tcBorders/>
            <w:vAlign w:val="center"/>
          </w:tcPr>
          <w:p>
            <w:pPr>
              <w:pStyle w:val="TableContents"/>
              <w:bidi w:val="0"/>
              <w:spacing w:before="0" w:after="283"/>
              <w:jc w:val="both"/>
              <w:rPr/>
            </w:pPr>
            <w:r>
              <w:rPr/>
              <w:t>The Company shall have a first and paramount lien on every Share (not being a fully paid Share) for all moneys, whether presently payable or not, called or payable at a fixed time in respect of that Share; and the Company shall also have a first and paramount lien and charge on all Shares (other than fully paid-up Shares) standing registered in the name of a Shareholder, whether singly or jointly with any other person or persons, for all the debts and liabilities of such Shareholder or his estate to the Company and whether the same shall have been incurred before or after notice to the Company of any equitable or other interest of any person other than such Shareholder, and whether the period for the payment or discharge of the same shall have actually arrived or not, and notwithstanding that the same are joint debts or liabilities of such Shareholder or his estate and any other person, whether a Shareholder of the Company or not. The Company’s lien (if any) on a Share shall extend to all Dividends and bonuses declared in respect thereof. The Board may at any time either generally or in any particular case waive any lien that has arisen, or declare any Share to be exempt wholly or partially from the provisions of this Article.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both"/>
              <w:rPr/>
            </w:pPr>
            <w:r>
              <w:rPr/>
              <w:t>24.</w:t>
            </w:r>
          </w:p>
        </w:tc>
        <w:tc>
          <w:tcPr>
            <w:tcW w:w="9924" w:type="dxa"/>
            <w:tcBorders/>
            <w:vAlign w:val="center"/>
          </w:tcPr>
          <w:p>
            <w:pPr>
              <w:pStyle w:val="TableContents"/>
              <w:bidi w:val="0"/>
              <w:spacing w:before="0" w:after="283"/>
              <w:jc w:val="both"/>
              <w:rPr/>
            </w:pPr>
            <w:r>
              <w:rPr/>
              <w:t>The Company may sell, in such manner as the Board thinks fit, any Shares on which the Company has a lien, but no sale shall be made unless some sum in respect of which the lien exists is presently payable or the liability or engagement in respect of which such lien exists is liable to be presently fulfilled or discharged, nor until the expiration of 14 days after a notice in writing, stating and demanding payment of the sum presently payable or specifying the liability or engagement and demanding fulfilment or discharge thereof and giving notice of intention to sell in default, shall have been given, in the manner in which notices may be sent to Shareholders of the Company as provided in these Articles, to the registered holder for the time being of the Shares, or the person entitled by reason of such holder’s death, bankruptcy or winding-up to the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both"/>
              <w:rPr/>
            </w:pPr>
            <w:r>
              <w:rPr/>
              <w:t>25.</w:t>
            </w:r>
          </w:p>
        </w:tc>
        <w:tc>
          <w:tcPr>
            <w:tcW w:w="9924" w:type="dxa"/>
            <w:tcBorders/>
            <w:vAlign w:val="center"/>
          </w:tcPr>
          <w:p>
            <w:pPr>
              <w:pStyle w:val="TableContents"/>
              <w:bidi w:val="0"/>
              <w:spacing w:before="0" w:after="283"/>
              <w:jc w:val="both"/>
              <w:rPr/>
            </w:pPr>
            <w:r>
              <w:rPr/>
              <w:t>The net proceeds of such sale after the payment of the costs of such sale shall be applied in or towards payment or satisfaction of the debt or liability or engagement in respect whereof the lien exists, so far as the same is presently payable, and any residue shall (subject to a like lien for debts or liabilities not presently payable as existed upon the Shares prior to the sale) be paid to the person entitled to the Shares at the time of the sale. For the purpose of giving effect to any such sale, the Board may authorise some person to transfer the Shares sold to the purchaser thereof and may enter the purchaser’s name in the Register as holder of the Shares, and the purchaser shall not be bound to see the application of the purchase money, nor shall his title to the Shares be affected by any irregularity or invalidity in the proceedings relating to the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pPr>
            <w:r>
              <w:rPr/>
              <w:t>26.</w:t>
            </w:r>
          </w:p>
        </w:tc>
        <w:tc>
          <w:tcPr>
            <w:tcW w:w="9916" w:type="dxa"/>
            <w:tcBorders/>
            <w:vAlign w:val="center"/>
          </w:tcPr>
          <w:p>
            <w:pPr>
              <w:pStyle w:val="TableContents"/>
              <w:bidi w:val="0"/>
              <w:spacing w:before="0" w:after="283"/>
              <w:jc w:val="both"/>
              <w:rPr/>
            </w:pPr>
            <w:r>
              <w:rPr/>
              <w:t>The Board may from time to time make such calls as it thinks fit upon the Shareholders in respect of any moneys unpaid on the Shares held by them respectively (whether on account of the nominal value of the Shares or by way of premiums) and not by the conditions of allotment thereof made payable at a fixed time. A call may be made payable either in one sum or by instalments.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both"/>
              <w:rPr/>
            </w:pPr>
            <w:r>
              <w:rPr/>
              <w:t>27.</w:t>
            </w:r>
          </w:p>
        </w:tc>
        <w:tc>
          <w:tcPr>
            <w:tcW w:w="9892" w:type="dxa"/>
            <w:tcBorders/>
            <w:vAlign w:val="center"/>
          </w:tcPr>
          <w:p>
            <w:pPr>
              <w:pStyle w:val="TableContents"/>
              <w:bidi w:val="0"/>
              <w:spacing w:before="0" w:after="283"/>
              <w:jc w:val="both"/>
              <w:rPr/>
            </w:pPr>
            <w:r>
              <w:rPr/>
              <w:t>At least 14 days’ notice of any call shall be given to the relevant Shareholders specifying the time and place of payment and to whom such call shall be paid.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both"/>
              <w:rPr/>
            </w:pPr>
            <w:r>
              <w:rPr/>
              <w:t>28.</w:t>
            </w:r>
          </w:p>
        </w:tc>
        <w:tc>
          <w:tcPr>
            <w:tcW w:w="9898" w:type="dxa"/>
            <w:tcBorders/>
            <w:vAlign w:val="center"/>
          </w:tcPr>
          <w:p>
            <w:pPr>
              <w:pStyle w:val="TableContents"/>
              <w:bidi w:val="0"/>
              <w:spacing w:before="0" w:after="283"/>
              <w:jc w:val="both"/>
              <w:rPr/>
            </w:pPr>
            <w:r>
              <w:rPr/>
              <w:t>A copy of the notice referred to in Article 27 shall be sent to relevant Shareholders in the manner in which notices may be sent to Shareholders by the Company as herein provided.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both"/>
              <w:rPr/>
            </w:pPr>
            <w:r>
              <w:rPr/>
              <w:t>29.</w:t>
            </w:r>
          </w:p>
        </w:tc>
        <w:tc>
          <w:tcPr>
            <w:tcW w:w="9910" w:type="dxa"/>
            <w:tcBorders/>
            <w:vAlign w:val="center"/>
          </w:tcPr>
          <w:p>
            <w:pPr>
              <w:pStyle w:val="TableContents"/>
              <w:bidi w:val="0"/>
              <w:spacing w:before="0" w:after="283"/>
              <w:jc w:val="both"/>
              <w:rPr/>
            </w:pPr>
            <w:r>
              <w:rPr/>
              <w:t>In addition to the giving of notice in accordance with Article 28, notice of the person appointed to receive payment of every call and of the times and places appointed for payment may be given to the relevant Shareholders by notice to be inserted at least once in the Newspapers.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both"/>
              <w:rPr/>
            </w:pPr>
            <w:r>
              <w:rPr/>
              <w:t>30.</w:t>
            </w:r>
          </w:p>
        </w:tc>
        <w:tc>
          <w:tcPr>
            <w:tcW w:w="9898" w:type="dxa"/>
            <w:tcBorders/>
            <w:vAlign w:val="center"/>
          </w:tcPr>
          <w:p>
            <w:pPr>
              <w:pStyle w:val="TableContents"/>
              <w:bidi w:val="0"/>
              <w:spacing w:before="0" w:after="283"/>
              <w:jc w:val="both"/>
              <w:rPr/>
            </w:pPr>
            <w:r>
              <w:rPr/>
              <w:t>Every Shareholder upon whom a call is made shall pay the amount of every call so made on him to the person and at the time or times and place or places as the Board shall appoint.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both"/>
              <w:rPr/>
            </w:pPr>
            <w:r>
              <w:rPr/>
              <w:t>31.</w:t>
            </w:r>
          </w:p>
        </w:tc>
        <w:tc>
          <w:tcPr>
            <w:tcW w:w="9879" w:type="dxa"/>
            <w:tcBorders/>
            <w:vAlign w:val="center"/>
          </w:tcPr>
          <w:p>
            <w:pPr>
              <w:pStyle w:val="TableContents"/>
              <w:bidi w:val="0"/>
              <w:spacing w:before="0" w:after="283"/>
              <w:jc w:val="both"/>
              <w:rPr/>
            </w:pPr>
            <w:r>
              <w:rPr/>
              <w:t>A call shall be deemed to have been made at the time when the resolution of the Board authorising such call was passed.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both"/>
              <w:rPr/>
            </w:pPr>
            <w:r>
              <w:rPr/>
              <w:t>32.</w:t>
            </w:r>
          </w:p>
        </w:tc>
        <w:tc>
          <w:tcPr>
            <w:tcW w:w="9897" w:type="dxa"/>
            <w:tcBorders/>
            <w:vAlign w:val="center"/>
          </w:tcPr>
          <w:p>
            <w:pPr>
              <w:pStyle w:val="TableContents"/>
              <w:bidi w:val="0"/>
              <w:spacing w:before="0" w:after="283"/>
              <w:jc w:val="both"/>
              <w:rPr/>
            </w:pPr>
            <w:r>
              <w:rPr/>
              <w:t>The joint holders of a Share shall be severally as well as jointly liable for the payment of all calls and instalments due in respect of such Share or other moneys due in respect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pPr>
            <w:r>
              <w:rPr/>
              <w:t>33.</w:t>
            </w:r>
          </w:p>
        </w:tc>
        <w:tc>
          <w:tcPr>
            <w:tcW w:w="9915" w:type="dxa"/>
            <w:tcBorders/>
            <w:vAlign w:val="center"/>
          </w:tcPr>
          <w:p>
            <w:pPr>
              <w:pStyle w:val="TableContents"/>
              <w:bidi w:val="0"/>
              <w:spacing w:before="0" w:after="283"/>
              <w:jc w:val="both"/>
              <w:rPr/>
            </w:pPr>
            <w:r>
              <w:rPr/>
              <w:t>The Board from time to time at its discretion may extend the time fixed for any call, and may extend such time as regards all or any of the Shareholders, whom due to residence outside the Relevant Territory or other cause the Board may deem entitled to any such extension but no Shareholder shall be entitled to any such extension except as a matter of grace and favour.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pPr>
            <w:r>
              <w:rPr/>
              <w:t>34.</w:t>
            </w:r>
          </w:p>
        </w:tc>
        <w:tc>
          <w:tcPr>
            <w:tcW w:w="9916" w:type="dxa"/>
            <w:tcBorders/>
            <w:vAlign w:val="center"/>
          </w:tcPr>
          <w:p>
            <w:pPr>
              <w:pStyle w:val="TableContents"/>
              <w:bidi w:val="0"/>
              <w:spacing w:before="0" w:after="283"/>
              <w:jc w:val="both"/>
              <w:rPr/>
            </w:pPr>
            <w:r>
              <w:rPr/>
              <w:t>If the sum payable in respect of any call or instalment is not paid before or on the day appointed for payment thereof, the person or persons from whom the sum is due shall pay interest on the same at such rate not exceeding 20% per annum as the Board shall fix from the day appointed for the payment thereof to the time of the actual payment, but the Board may waive payment of such interest wholly or in part.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both"/>
              <w:rPr/>
            </w:pPr>
            <w:r>
              <w:rPr/>
              <w:t>35.</w:t>
            </w:r>
          </w:p>
        </w:tc>
        <w:tc>
          <w:tcPr>
            <w:tcW w:w="9920" w:type="dxa"/>
            <w:tcBorders/>
            <w:vAlign w:val="center"/>
          </w:tcPr>
          <w:p>
            <w:pPr>
              <w:pStyle w:val="TableContents"/>
              <w:bidi w:val="0"/>
              <w:spacing w:before="0" w:after="283"/>
              <w:jc w:val="both"/>
              <w:rPr/>
            </w:pPr>
            <w:r>
              <w:rPr/>
              <w:t>No Shareholder shall be entitled to receive any Dividend or bonus or to be present or vote (save as proxy or authorised representative for another Shareholder) at any general meeting, either personally, or (save as proxy or authorised representative for another Shareholder) by proxy, or be reckoned in a quorum, or to exercise any other privilege as a Shareholder until all calls or instalments due from him to the Company, whether alone or jointly or jointly and severally with any other person, together with interest and expenses (if any) shall have been paid.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both"/>
              <w:rPr/>
            </w:pPr>
            <w:r>
              <w:rPr/>
              <w:t>36.</w:t>
            </w:r>
          </w:p>
        </w:tc>
        <w:tc>
          <w:tcPr>
            <w:tcW w:w="9922" w:type="dxa"/>
            <w:tcBorders/>
            <w:vAlign w:val="center"/>
          </w:tcPr>
          <w:p>
            <w:pPr>
              <w:pStyle w:val="TableContents"/>
              <w:bidi w:val="0"/>
              <w:spacing w:before="0" w:after="283"/>
              <w:jc w:val="both"/>
              <w:rPr/>
            </w:pPr>
            <w:r>
              <w:rPr/>
              <w:t>On the trial or hearing of any action or other proceedings for the recovery of any money due for any call, it shall be sufficient to prove that the name of the Shareholder sued is entered in the Register as the holder, or one of the holders, of the Shares in respect of which such debt accrues; that the resolution of the Board making the call has been duly recorded in the minute book of the Board; and that notice of such call was given to the Shareholder sued, in pursuance of these Articles, and it shall not be necessary to prove the appointment of the Directors who made such call, nor any other matters whatsoever, but the proof of the matters aforesaid shall be conclusive evidence of the debt.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212"/>
        <w:gridCol w:w="9708"/>
      </w:tblGrid>
      <w:tr>
        <w:trPr/>
        <w:tc>
          <w:tcPr>
            <w:tcW w:w="285" w:type="dxa"/>
            <w:tcBorders/>
            <w:vAlign w:val="center"/>
          </w:tcPr>
          <w:p>
            <w:pPr>
              <w:pStyle w:val="TableContents"/>
              <w:bidi w:val="0"/>
              <w:spacing w:before="0" w:after="283"/>
              <w:jc w:val="both"/>
              <w:rPr/>
            </w:pPr>
            <w:r>
              <w:rPr/>
              <w:t>37.</w:t>
            </w:r>
          </w:p>
        </w:tc>
        <w:tc>
          <w:tcPr>
            <w:tcW w:w="212" w:type="dxa"/>
            <w:tcBorders/>
            <w:vAlign w:val="center"/>
          </w:tcPr>
          <w:p>
            <w:pPr>
              <w:pStyle w:val="TableContents"/>
              <w:bidi w:val="0"/>
              <w:spacing w:before="0" w:after="283"/>
              <w:jc w:val="both"/>
              <w:rPr/>
            </w:pPr>
            <w:r>
              <w:rPr/>
              <w:t>(a)</w:t>
            </w:r>
          </w:p>
        </w:tc>
        <w:tc>
          <w:tcPr>
            <w:tcW w:w="9708" w:type="dxa"/>
            <w:tcBorders/>
            <w:vAlign w:val="center"/>
          </w:tcPr>
          <w:p>
            <w:pPr>
              <w:pStyle w:val="TableContents"/>
              <w:bidi w:val="0"/>
              <w:spacing w:before="0" w:after="283"/>
              <w:jc w:val="both"/>
              <w:rPr/>
            </w:pPr>
            <w:r>
              <w:rPr/>
              <w:t>Any sum which by the terms of allotment of a Share is made payable upon allotment or at any fixed date, whether on account of the nominal value of the Share and/or by way of premium, shall for all purposes of these Articles be deemed to be a call duly made and notified and payable on the date fixed for payment, and in case of non-payment all the relevant provisions of these Articles as to payment of interest and expenses, forfeiture and the like, shall apply as if such sums had become payable by virtue of a call duly made and notified.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pPr>
            <w:r>
              <w:rPr/>
              <w:t>(b)</w:t>
            </w:r>
          </w:p>
        </w:tc>
        <w:tc>
          <w:tcPr>
            <w:tcW w:w="9863" w:type="dxa"/>
            <w:tcBorders/>
            <w:vAlign w:val="center"/>
          </w:tcPr>
          <w:p>
            <w:pPr>
              <w:pStyle w:val="TableContents"/>
              <w:bidi w:val="0"/>
              <w:spacing w:before="0" w:after="283"/>
              <w:jc w:val="both"/>
              <w:rPr/>
            </w:pPr>
            <w:r>
              <w:rPr/>
              <w:t>The Board may on the issue of Shares differentiate between the allottees or holders as to the amount of calls to be paid and the time of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both"/>
              <w:rPr/>
            </w:pPr>
            <w:r>
              <w:rPr/>
              <w:t>38.</w:t>
            </w:r>
          </w:p>
        </w:tc>
        <w:tc>
          <w:tcPr>
            <w:tcW w:w="9925" w:type="dxa"/>
            <w:tcBorders/>
            <w:vAlign w:val="center"/>
          </w:tcPr>
          <w:p>
            <w:pPr>
              <w:pStyle w:val="TableContents"/>
              <w:bidi w:val="0"/>
              <w:spacing w:before="0" w:after="283"/>
              <w:jc w:val="both"/>
              <w:rPr/>
            </w:pPr>
            <w:r>
              <w:rPr/>
              <w:t>The Board may, if it thinks fit, receive from any Shareholder willing to advance the same, and either in money or money’s worth, all or any part of the money uncalled and unpaid or instalments payable upon any Shares held by him, and in respect of all or any of the moneys so advanced may pay interest at such rate (if any) not exceeding 20% per annum, as the Board may decide but a payment in advance of a call shall not entitle the Shareholder to receive any Dividend subsequently declared or to exercise any other rights or privileges as a Shareholder in respect of the Share or the due portion of the Shares upon which payment has been advanced by such Shareholder before it is called up. The Board may at any time repay the amount so advanced upon giving to such Shareholder not less than one Month’s notice in writing of its intention on that behalf, unless before the expiration of such notice the amount so advanced shall have been called up on the Shares in respect of which it was advanced.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both"/>
              <w:rPr/>
            </w:pPr>
            <w:r>
              <w:rPr/>
              <w:t>39.</w:t>
            </w:r>
          </w:p>
        </w:tc>
        <w:tc>
          <w:tcPr>
            <w:tcW w:w="9919" w:type="dxa"/>
            <w:tcBorders/>
            <w:vAlign w:val="center"/>
          </w:tcPr>
          <w:p>
            <w:pPr>
              <w:pStyle w:val="TableContents"/>
              <w:bidi w:val="0"/>
              <w:spacing w:before="0" w:after="283"/>
              <w:jc w:val="both"/>
              <w:rPr/>
            </w:pPr>
            <w:r>
              <w:rPr/>
              <w:t>Subject to the Companies Act, all transfers of Shares shall be effected by transfer in writing in the usual or common form or in such other form as the Board may accept provided always that it shall be in such a form prescribed by the HK Stock Exchange and may be under hand only or, if the transferor or transferee is a Clearing House (or its nominee(s)), under hand or by machine imprinted signature or by such other means of execution as the Board may approve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both"/>
              <w:rPr/>
            </w:pPr>
            <w:r>
              <w:rPr/>
              <w:t>40.</w:t>
            </w:r>
          </w:p>
        </w:tc>
        <w:tc>
          <w:tcPr>
            <w:tcW w:w="9922" w:type="dxa"/>
            <w:tcBorders/>
            <w:vAlign w:val="center"/>
          </w:tcPr>
          <w:p>
            <w:pPr>
              <w:pStyle w:val="TableContents"/>
              <w:bidi w:val="0"/>
              <w:spacing w:before="0" w:after="283"/>
              <w:jc w:val="both"/>
              <w:rPr/>
            </w:pPr>
            <w:r>
              <w:rPr/>
              <w:t>The instrument of transfer of any Share shall be executed by or on behalf of the transferor and by or on behalf of the transferee provided that the Board may dispense with the execution of the instrument of transfer by the transferor or the transferee or accept mechanically executed transfers in any case in which it in its absolute discretion thinks fit to do so.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230"/>
        <w:gridCol w:w="9676"/>
      </w:tblGrid>
      <w:tr>
        <w:trPr/>
        <w:tc>
          <w:tcPr>
            <w:tcW w:w="299" w:type="dxa"/>
            <w:tcBorders/>
            <w:vAlign w:val="center"/>
          </w:tcPr>
          <w:p>
            <w:pPr>
              <w:pStyle w:val="TableContents"/>
              <w:bidi w:val="0"/>
              <w:spacing w:before="0" w:after="283"/>
              <w:jc w:val="both"/>
              <w:rPr/>
            </w:pPr>
            <w:r>
              <w:rPr/>
              <w:t>41.</w:t>
            </w:r>
          </w:p>
        </w:tc>
        <w:tc>
          <w:tcPr>
            <w:tcW w:w="230" w:type="dxa"/>
            <w:tcBorders/>
            <w:vAlign w:val="center"/>
          </w:tcPr>
          <w:p>
            <w:pPr>
              <w:pStyle w:val="TableContents"/>
              <w:bidi w:val="0"/>
              <w:spacing w:before="0" w:after="283"/>
              <w:jc w:val="both"/>
              <w:rPr/>
            </w:pPr>
            <w:r>
              <w:rPr/>
              <w:t>(a)</w:t>
            </w:r>
          </w:p>
        </w:tc>
        <w:tc>
          <w:tcPr>
            <w:tcW w:w="9676" w:type="dxa"/>
            <w:tcBorders/>
            <w:vAlign w:val="center"/>
          </w:tcPr>
          <w:p>
            <w:pPr>
              <w:pStyle w:val="TableContents"/>
              <w:bidi w:val="0"/>
              <w:spacing w:before="0" w:after="283"/>
              <w:jc w:val="both"/>
              <w:rPr/>
            </w:pPr>
            <w:r>
              <w:rPr/>
              <w:t>The Board may, in its absolute discretion at any time and from time to time, remove any Share on the Principal Register to any Branch Register or any Share on any branch Register to the Principal Register or any other Branch Register.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both"/>
              <w:rPr/>
            </w:pPr>
            <w:r>
              <w:rPr/>
              <w:t>(b)</w:t>
            </w:r>
          </w:p>
        </w:tc>
        <w:tc>
          <w:tcPr>
            <w:tcW w:w="9907" w:type="dxa"/>
            <w:tcBorders/>
            <w:vAlign w:val="center"/>
          </w:tcPr>
          <w:p>
            <w:pPr>
              <w:pStyle w:val="TableContents"/>
              <w:bidi w:val="0"/>
              <w:spacing w:before="0" w:after="283"/>
              <w:jc w:val="both"/>
              <w:rPr/>
            </w:pPr>
            <w:r>
              <w:rPr/>
              <w:t>Unless the Board otherwise agrees (which agreement may be on such terms and subject to such conditions as the Board in its absolute discretion may from time to time stipulate, and which agreement it shall, without giving any reason therefore, be entitled in its absolute discretion to give or withhold) no Shares on the Principal Register shall be removed to any Branch Register nor shall Shares on any Branch Register be removed to the Principal Register or any other Branch Register and all removals and other documents of title relating to or affecting the title to any share or other securities of the Company shall be lodged for registration, and be registered, in the case of any Shares on a Branch Register, at the relevant Registration Office, and, in the case of any Shares on the Principal Register, at the Transfer Office.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both"/>
              <w:rPr/>
            </w:pPr>
            <w:r>
              <w:rPr/>
              <w:t>(c)</w:t>
            </w:r>
          </w:p>
        </w:tc>
        <w:tc>
          <w:tcPr>
            <w:tcW w:w="9910" w:type="dxa"/>
            <w:tcBorders/>
            <w:vAlign w:val="center"/>
          </w:tcPr>
          <w:p>
            <w:pPr>
              <w:pStyle w:val="TableContents"/>
              <w:bidi w:val="0"/>
              <w:spacing w:before="0" w:after="283"/>
              <w:jc w:val="both"/>
              <w:rPr/>
            </w:pPr>
            <w:r>
              <w:rPr/>
              <w:t>Notwithstanding anything contained in these Articles, the Company shall as soon as practicable and on a regular basis record in the Principal Register all removals of Shares effected on any Branch Register and shall at all times maintain the Principal Register and all Branch Registers in all respects in accordance with the Companies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both"/>
              <w:rPr/>
            </w:pPr>
            <w:r>
              <w:rPr/>
              <w:t>42.</w:t>
            </w:r>
          </w:p>
        </w:tc>
        <w:tc>
          <w:tcPr>
            <w:tcW w:w="9922" w:type="dxa"/>
            <w:tcBorders/>
            <w:vAlign w:val="center"/>
          </w:tcPr>
          <w:p>
            <w:pPr>
              <w:pStyle w:val="TableContents"/>
              <w:bidi w:val="0"/>
              <w:spacing w:before="0" w:after="283"/>
              <w:jc w:val="both"/>
              <w:rPr/>
            </w:pPr>
            <w:r>
              <w:rPr/>
              <w:t>Fully paid Shares shall be free from any restriction with respect to the right of the holder thereof to transfer such Shares (except when permitted by the HK Stock Exchange) and shall also be free from all liens. The Board however, may, in its absolute discretion, refuse to register a transfer of any Share which is not fully paid to a person of whom it does not approve or any Share issued under any share option scheme upon which a restriction on transfer imposed thereby still subsists, and it may also refuse to register a transfer of any Share (whether fully paid up or not) to more than four joint holders or a transfer of any Shares (not being a fully paid up Share) on which the Company has a lien.</w:t>
            </w:r>
          </w:p>
        </w:tc>
      </w:tr>
    </w:tbl>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35"/>
        <w:gridCol w:w="7070"/>
      </w:tblGrid>
      <w:tr>
        <w:trPr/>
        <w:tc>
          <w:tcPr>
            <w:tcW w:w="335" w:type="dxa"/>
            <w:tcBorders/>
            <w:vAlign w:val="center"/>
          </w:tcPr>
          <w:p>
            <w:pPr>
              <w:pStyle w:val="TableContents"/>
              <w:bidi w:val="0"/>
              <w:spacing w:before="0" w:after="283"/>
              <w:jc w:val="both"/>
              <w:rPr/>
            </w:pPr>
            <w:r>
              <w:rPr/>
              <w:t>43.</w:t>
            </w:r>
          </w:p>
        </w:tc>
        <w:tc>
          <w:tcPr>
            <w:tcW w:w="7070" w:type="dxa"/>
            <w:tcBorders/>
            <w:vAlign w:val="center"/>
          </w:tcPr>
          <w:p>
            <w:pPr>
              <w:pStyle w:val="TableContents"/>
              <w:bidi w:val="0"/>
              <w:spacing w:before="0" w:after="283"/>
              <w:jc w:val="both"/>
              <w:rPr/>
            </w:pPr>
            <w:r>
              <w:rPr/>
              <w:t>The Board may also decline to recognise any instrument of transfer unless: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both"/>
              <w:rPr/>
            </w:pPr>
            <w:r>
              <w:rPr/>
              <w:t>(a)</w:t>
            </w:r>
          </w:p>
        </w:tc>
        <w:tc>
          <w:tcPr>
            <w:tcW w:w="9892" w:type="dxa"/>
            <w:tcBorders/>
            <w:vAlign w:val="center"/>
          </w:tcPr>
          <w:p>
            <w:pPr>
              <w:pStyle w:val="TableContents"/>
              <w:bidi w:val="0"/>
              <w:spacing w:before="0" w:after="283"/>
              <w:jc w:val="both"/>
              <w:rPr/>
            </w:pPr>
            <w:r>
              <w:rPr/>
              <w:t>a fee of such maximum as the HK Stock Exchange may from time to time determine to be payable (or such lesser sum as the Board may from time to time require) has been paid to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both"/>
              <w:rPr/>
            </w:pPr>
            <w:r>
              <w:rPr/>
              <w:t>(b)</w:t>
            </w:r>
          </w:p>
        </w:tc>
        <w:tc>
          <w:tcPr>
            <w:tcW w:w="9898" w:type="dxa"/>
            <w:tcBorders/>
            <w:vAlign w:val="center"/>
          </w:tcPr>
          <w:p>
            <w:pPr>
              <w:pStyle w:val="TableContents"/>
              <w:bidi w:val="0"/>
              <w:spacing w:before="0" w:after="283"/>
              <w:jc w:val="both"/>
              <w:rPr/>
            </w:pPr>
            <w:r>
              <w:rPr/>
              <w:t>the instrument of transfer is lodged at the relevant Registration Office or, as the case may be, the Transfer Office accompanied by the certificate of the Shares to which it relates, and such other evidence as the Board may reasonably require to show the right of the transferor to make the transfer (and, if the instrument of transfer is executed by some other person on his behalf, the authority of that person so to do);</w:t>
            </w:r>
          </w:p>
        </w:tc>
      </w:tr>
    </w:tbl>
    <w:p>
      <w:pPr>
        <w:pStyle w:val="TextBody"/>
        <w:bidi w:val="0"/>
        <w:spacing w:before="0" w:after="0"/>
        <w:ind w:left="0"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275"/>
        <w:gridCol w:w="61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pPr>
            <w:r>
              <w:rPr/>
              <w:t>(c)</w:t>
            </w:r>
          </w:p>
        </w:tc>
        <w:tc>
          <w:tcPr>
            <w:tcW w:w="6125" w:type="dxa"/>
            <w:tcBorders/>
            <w:vAlign w:val="center"/>
          </w:tcPr>
          <w:p>
            <w:pPr>
              <w:pStyle w:val="TableContents"/>
              <w:bidi w:val="0"/>
              <w:spacing w:before="0" w:after="283"/>
              <w:jc w:val="both"/>
              <w:rPr/>
            </w:pPr>
            <w:r>
              <w:rPr/>
              <w:t>the instrument of transfer is in respect of only one class of Share;</w:t>
            </w:r>
          </w:p>
        </w:tc>
      </w:tr>
    </w:tbl>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290"/>
        <w:gridCol w:w="68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(d)</w:t>
            </w:r>
          </w:p>
        </w:tc>
        <w:tc>
          <w:tcPr>
            <w:tcW w:w="6845" w:type="dxa"/>
            <w:tcBorders/>
            <w:vAlign w:val="center"/>
          </w:tcPr>
          <w:p>
            <w:pPr>
              <w:pStyle w:val="TableContents"/>
              <w:bidi w:val="0"/>
              <w:spacing w:before="0" w:after="283"/>
              <w:jc w:val="both"/>
              <w:rPr/>
            </w:pPr>
            <w:r>
              <w:rPr/>
              <w:t>the Shares concerned are free of any lien in favour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275"/>
        <w:gridCol w:w="56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pPr>
            <w:r>
              <w:rPr/>
              <w:t>(e)</w:t>
            </w:r>
          </w:p>
        </w:tc>
        <w:tc>
          <w:tcPr>
            <w:tcW w:w="5630" w:type="dxa"/>
            <w:tcBorders/>
            <w:vAlign w:val="center"/>
          </w:tcPr>
          <w:p>
            <w:pPr>
              <w:pStyle w:val="TableContents"/>
              <w:bidi w:val="0"/>
              <w:spacing w:before="0" w:after="283"/>
              <w:jc w:val="both"/>
              <w:rPr/>
            </w:pPr>
            <w:r>
              <w:rPr/>
              <w:t>if applicable, the instrument of transfer is properly stamped.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both"/>
              <w:rPr/>
            </w:pPr>
            <w:r>
              <w:rPr/>
              <w:t>44.</w:t>
            </w:r>
          </w:p>
        </w:tc>
        <w:tc>
          <w:tcPr>
            <w:tcW w:w="9883" w:type="dxa"/>
            <w:tcBorders/>
            <w:vAlign w:val="center"/>
          </w:tcPr>
          <w:p>
            <w:pPr>
              <w:pStyle w:val="TableContents"/>
              <w:bidi w:val="0"/>
              <w:spacing w:before="0" w:after="283"/>
              <w:jc w:val="both"/>
              <w:rPr/>
            </w:pPr>
            <w:r>
              <w:rPr/>
              <w:t>The Board may refuse to register a transfer of any Share to an infant or to a person of unsound mind or under other legal disability.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both"/>
              <w:rPr/>
            </w:pPr>
            <w:r>
              <w:rPr/>
              <w:t>45.</w:t>
            </w:r>
          </w:p>
        </w:tc>
        <w:tc>
          <w:tcPr>
            <w:tcW w:w="9912" w:type="dxa"/>
            <w:tcBorders/>
            <w:vAlign w:val="center"/>
          </w:tcPr>
          <w:p>
            <w:pPr>
              <w:pStyle w:val="TableContents"/>
              <w:bidi w:val="0"/>
              <w:spacing w:before="0" w:after="283"/>
              <w:jc w:val="both"/>
              <w:rPr/>
            </w:pPr>
            <w:r>
              <w:rPr/>
              <w:t>If the Board shall refuse to register a transfer of any Share, it shall, within two months after the date on which the transfer was lodged with the Company, send to each of the transferor and the transferee notice of such refusal and, except where the subject Share is not a fully paid Share, the reason(s) for such refusal.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both"/>
              <w:rPr/>
            </w:pPr>
            <w:r>
              <w:rPr/>
              <w:t>46.</w:t>
            </w:r>
          </w:p>
        </w:tc>
        <w:tc>
          <w:tcPr>
            <w:tcW w:w="9920" w:type="dxa"/>
            <w:tcBorders/>
            <w:vAlign w:val="center"/>
          </w:tcPr>
          <w:p>
            <w:pPr>
              <w:pStyle w:val="TableContents"/>
              <w:bidi w:val="0"/>
              <w:spacing w:before="0" w:after="283"/>
              <w:jc w:val="both"/>
              <w:rPr/>
            </w:pPr>
            <w:r>
              <w:rPr/>
              <w:t>Upon every transfer of Shares, the certificate in respect thereof held by the transferor shall be given up to be cancelled, and shall forthwith be cancelled accordingly, and a new certificate shall be issued to the transferee in respect of the Shares transferred to him as provided in Article 18, and if any of the Shares included in the certificate so given up shall be retained by the transferor a new certificate in respect thereof shall be issued to him as provided in Article 18. The Company shall retain the instrument of transfer.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both"/>
              <w:rPr/>
            </w:pPr>
            <w:r>
              <w:rPr/>
              <w:t>47.</w:t>
            </w:r>
          </w:p>
        </w:tc>
        <w:tc>
          <w:tcPr>
            <w:tcW w:w="9873" w:type="dxa"/>
            <w:tcBorders/>
            <w:vAlign w:val="center"/>
          </w:tcPr>
          <w:p>
            <w:pPr>
              <w:pStyle w:val="TableContents"/>
              <w:bidi w:val="0"/>
              <w:spacing w:before="0" w:after="283"/>
              <w:jc w:val="both"/>
              <w:rPr/>
            </w:pPr>
            <w:r>
              <w:rPr/>
              <w:t>The registration of transfers may be suspended when the Register is closed in accordance with Article 17(d).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both"/>
              <w:rPr/>
            </w:pPr>
            <w:r>
              <w:rPr/>
              <w:t>48.</w:t>
            </w:r>
          </w:p>
        </w:tc>
        <w:tc>
          <w:tcPr>
            <w:tcW w:w="9919" w:type="dxa"/>
            <w:tcBorders/>
            <w:vAlign w:val="center"/>
          </w:tcPr>
          <w:p>
            <w:pPr>
              <w:pStyle w:val="TableContents"/>
              <w:bidi w:val="0"/>
              <w:spacing w:before="0" w:after="283"/>
              <w:jc w:val="both"/>
              <w:rPr/>
            </w:pPr>
            <w:r>
              <w:rPr/>
              <w:t>In the case of the death of a Shareholder, the survivor or survivors where the deceased was a joint holder, and the legal personal representatives of the deceased where he was a sole or only surviving holder, shall be the only persons recognised by the Company as having any title to his interest in the Shares; but nothing herein contained shall release the estate of a deceased holder (whether sole or joint) from any liability in respect of any Share solely or jointly held by him.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both"/>
              <w:rPr/>
            </w:pPr>
            <w:r>
              <w:rPr/>
              <w:t>49.</w:t>
            </w:r>
          </w:p>
        </w:tc>
        <w:tc>
          <w:tcPr>
            <w:tcW w:w="9916" w:type="dxa"/>
            <w:tcBorders/>
            <w:vAlign w:val="center"/>
          </w:tcPr>
          <w:p>
            <w:pPr>
              <w:pStyle w:val="TableContents"/>
              <w:bidi w:val="0"/>
              <w:spacing w:before="0" w:after="283"/>
              <w:jc w:val="both"/>
              <w:rPr/>
            </w:pPr>
            <w:r>
              <w:rPr/>
              <w:t>Any person becoming entitled to a Share in consequence of the death or bankruptcy or winding-up of a Shareholder may, upon such evidence as to his title being produced as may from time to time be required by the Board, and subject as hereinafter provided, elect either to be registered himself as holder of the Share or to have some person nominated by him registered as the transferee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both"/>
              <w:rPr/>
            </w:pPr>
            <w:r>
              <w:rPr/>
              <w:t>50.</w:t>
            </w:r>
          </w:p>
        </w:tc>
        <w:tc>
          <w:tcPr>
            <w:tcW w:w="9923" w:type="dxa"/>
            <w:tcBorders/>
            <w:vAlign w:val="center"/>
          </w:tcPr>
          <w:p>
            <w:pPr>
              <w:pStyle w:val="TableContents"/>
              <w:bidi w:val="0"/>
              <w:spacing w:before="0" w:after="283"/>
              <w:jc w:val="both"/>
              <w:rPr/>
            </w:pPr>
            <w:r>
              <w:rPr/>
              <w:t>If the person becoming entitled to a Share pursuant to Article 49 shall elect to be registered himself as the holder of such Share, he shall deliver or send to the Company a notice in writing signed by him, at (unless the Board otherwise agrees) the Registration Office, stating that he so elects. If he shall elect to have his nominee registered, he shall testify his election by executing a transfer of such Share to his nominee. All the limitations, restrictions and provisions of these Articles relating to the right to transfer and the registration of transfers of Shares shall be applicable to any such notice or transfer as aforesaid as if the death, bankruptcy or winding-up of the Shareholder had not occurred and the notice or transfer were a transfer executed by such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both"/>
              <w:rPr/>
            </w:pPr>
            <w:r>
              <w:rPr/>
              <w:t>51.</w:t>
            </w:r>
          </w:p>
        </w:tc>
        <w:tc>
          <w:tcPr>
            <w:tcW w:w="9921" w:type="dxa"/>
            <w:tcBorders/>
            <w:vAlign w:val="center"/>
          </w:tcPr>
          <w:p>
            <w:pPr>
              <w:pStyle w:val="TableContents"/>
              <w:bidi w:val="0"/>
              <w:spacing w:before="0" w:after="283"/>
              <w:jc w:val="both"/>
              <w:rPr/>
            </w:pPr>
            <w:r>
              <w:rPr/>
              <w:t>A person becoming entitled to a Share by reason of the death, bankruptcy or winding-up of the holder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92 being met, such a person may vote at general meetings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both"/>
              <w:rPr/>
            </w:pPr>
            <w:r>
              <w:rPr/>
              <w:t>52.</w:t>
            </w:r>
          </w:p>
        </w:tc>
        <w:tc>
          <w:tcPr>
            <w:tcW w:w="9918" w:type="dxa"/>
            <w:tcBorders/>
            <w:vAlign w:val="center"/>
          </w:tcPr>
          <w:p>
            <w:pPr>
              <w:pStyle w:val="TableContents"/>
              <w:bidi w:val="0"/>
              <w:spacing w:before="0" w:after="283"/>
              <w:jc w:val="both"/>
              <w:rPr/>
            </w:pPr>
            <w:r>
              <w:rPr/>
              <w:t>If a Shareholder fails to pay any call or instalment of a call on the day appointed for payment thereof, the Board may, at any time thereafter during such time as any part of the call or instalment remains unpaid, without prejudice to the provisions of Article 34, serve notice on him requiring payment of so much of the call or instalment as is unpaid, together with any interest which may have accrued and which may still accrue up to the date of actual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both"/>
              <w:rPr/>
            </w:pPr>
            <w:r>
              <w:rPr/>
              <w:t>53.</w:t>
            </w:r>
          </w:p>
        </w:tc>
        <w:tc>
          <w:tcPr>
            <w:tcW w:w="9920" w:type="dxa"/>
            <w:tcBorders/>
            <w:vAlign w:val="center"/>
          </w:tcPr>
          <w:p>
            <w:pPr>
              <w:pStyle w:val="TableContents"/>
              <w:bidi w:val="0"/>
              <w:spacing w:before="0" w:after="283"/>
              <w:jc w:val="both"/>
              <w:rPr/>
            </w:pPr>
            <w:r>
              <w:rPr/>
              <w:t>The notice shall name a further day (not earlier than the expiration of 14 days from the date of the notice) on or before which the payment required by the notice is to be made, and it shall also name the place where payment is to be made such place being the Registered Office or a Registration Office or another place within the Relevant Territory. The notice shall also state that, in the event of non-payment at or before the time appointed, the Shares in respect of which the call was made will be liable to be forfeited.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both"/>
              <w:rPr/>
            </w:pPr>
            <w:r>
              <w:rPr/>
              <w:t>54.</w:t>
            </w:r>
          </w:p>
        </w:tc>
        <w:tc>
          <w:tcPr>
            <w:tcW w:w="9921" w:type="dxa"/>
            <w:tcBorders/>
            <w:vAlign w:val="center"/>
          </w:tcPr>
          <w:p>
            <w:pPr>
              <w:pStyle w:val="TableContents"/>
              <w:bidi w:val="0"/>
              <w:spacing w:before="0" w:after="283"/>
              <w:jc w:val="both"/>
              <w:rPr/>
            </w:pPr>
            <w:r>
              <w:rPr/>
              <w:t>If the requirements of any such notice as aforesaid are not complied with, any Share in respect of which the notice has been given may at any time thereafter, before the payment required by the notice has been made, be forfeited by a resolution of the Board to that effect. Such forfeiture shall include all Dividends and bonuses declared in respect of the forfeited Share and not actually paid before the forfeiture. The Board may accept the surrender of any Share liable to be forfeited hereunder and in such cases references in these Articles to forfeiture shall include surrender.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both"/>
              <w:rPr/>
            </w:pPr>
            <w:r>
              <w:rPr/>
              <w:t>55.</w:t>
            </w:r>
          </w:p>
        </w:tc>
        <w:tc>
          <w:tcPr>
            <w:tcW w:w="9911" w:type="dxa"/>
            <w:tcBorders/>
            <w:vAlign w:val="center"/>
          </w:tcPr>
          <w:p>
            <w:pPr>
              <w:pStyle w:val="TableContents"/>
              <w:bidi w:val="0"/>
              <w:spacing w:before="0" w:after="283"/>
              <w:jc w:val="both"/>
              <w:rPr/>
            </w:pPr>
            <w:r>
              <w:rPr/>
              <w:t>Any Share so forfeited shall be deemed to be the property of the Company, and may be re-allotted, sold or otherwise disposed of on such terms and in such manner as the Board thinks fit and at any time before a sale or disposition, the forfeiture may be cancelled on such terms as the Board thinks 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both"/>
              <w:rPr/>
            </w:pPr>
            <w:r>
              <w:rPr/>
              <w:t>56.</w:t>
            </w:r>
          </w:p>
        </w:tc>
        <w:tc>
          <w:tcPr>
            <w:tcW w:w="9927" w:type="dxa"/>
            <w:tcBorders/>
            <w:vAlign w:val="center"/>
          </w:tcPr>
          <w:p>
            <w:pPr>
              <w:pStyle w:val="TableContents"/>
              <w:bidi w:val="0"/>
              <w:spacing w:before="0" w:after="283"/>
              <w:jc w:val="both"/>
              <w:rPr/>
            </w:pPr>
            <w:r>
              <w:rPr/>
              <w:t>A person whose Shares have been forfeited shall cease to be a Shareholder in respect of the forfeited Shares, but shall, nevertheless, remain liable to pay to the Company all moneys which, at the date of forfeiture, were payable by him to the Company in respect of the forfeited Shares, together with (if the Board shall in its discretion so require) interest thereon from the date of forfeiture until the date of actual payment (including the payment of such interest) at such rate not exceeding 20% per annum as the Board may prescribe, and the Board may enforce the payment thereof if it thinks fit, and without any deduction or allowance for the value of the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such time has not yet arrived be deemed to be payable on the date of forfeiture, and the same shall become due and payable immediately upon the forfeiture, but interest thereon shall only be payable in respect of any period between the said fixed time and the date of actual payment.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both"/>
              <w:rPr/>
            </w:pPr>
            <w:r>
              <w:rPr/>
              <w:t>57.</w:t>
            </w:r>
          </w:p>
        </w:tc>
        <w:tc>
          <w:tcPr>
            <w:tcW w:w="9924" w:type="dxa"/>
            <w:tcBorders/>
            <w:vAlign w:val="center"/>
          </w:tcPr>
          <w:p>
            <w:pPr>
              <w:pStyle w:val="TableContents"/>
              <w:bidi w:val="0"/>
              <w:spacing w:before="0" w:after="283"/>
              <w:jc w:val="both"/>
              <w:rPr/>
            </w:pPr>
            <w:r>
              <w:rPr/>
              <w:t>A certificate in writing that the declarant is a Director or the Secretary, and that a Share has been duly forfeited or surrendered on a date stated in the certificate, shall be conclusive evidence of the facts therein stated as against all persons claiming to be entitled to the Share. The Company may receive the consideration, if any, given for the Share on any re-allotment, sale or disposition thereof and may execute a transfer of the Share in favour of the person to whom the Share is re-allotted, sold or disposed of and such person shall thereupon be registered as the holder of the Share, and shall not be bound to see to the application of the subscription or purchase money, (if any), nor shall his title to the Share be affected by any irregularity or invalidity in the proceedings in reference to the forfeiture, re-allotment, sale or disposal of such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pPr>
            <w:r>
              <w:rPr/>
              <w:t>58.</w:t>
            </w:r>
          </w:p>
        </w:tc>
        <w:tc>
          <w:tcPr>
            <w:tcW w:w="9915" w:type="dxa"/>
            <w:tcBorders/>
            <w:vAlign w:val="center"/>
          </w:tcPr>
          <w:p>
            <w:pPr>
              <w:pStyle w:val="TableContents"/>
              <w:bidi w:val="0"/>
              <w:spacing w:before="0" w:after="283"/>
              <w:jc w:val="both"/>
              <w:rPr/>
            </w:pPr>
            <w:r>
              <w:rPr/>
              <w:t>When any Share shall have been forfeited, notice of the forfeiture shall be given to the Shareholder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both"/>
              <w:rPr/>
            </w:pPr>
            <w:r>
              <w:rPr/>
              <w:t>59.</w:t>
            </w:r>
          </w:p>
        </w:tc>
        <w:tc>
          <w:tcPr>
            <w:tcW w:w="9918" w:type="dxa"/>
            <w:tcBorders/>
            <w:vAlign w:val="center"/>
          </w:tcPr>
          <w:p>
            <w:pPr>
              <w:pStyle w:val="TableContents"/>
              <w:bidi w:val="0"/>
              <w:spacing w:before="0" w:after="283"/>
              <w:jc w:val="both"/>
              <w:rPr/>
            </w:pPr>
            <w:r>
              <w:rPr/>
              <w:t>Notwithstanding any such forfeiture as aforesaid the Board may at any time, before any Shares so forfeited shall have been re-allotted, sold or otherwise disposed of, cancel the forfeiture on such terms as it thinks fit or permit the Shares so forfeited to be bought back or redeemed upon the terms of payment of all calls and interest due upon and expenses incurred in respect of the Shares, and upon such further terms (if any) as it thinks 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both"/>
              <w:rPr/>
            </w:pPr>
            <w:r>
              <w:rPr/>
              <w:t>60.</w:t>
            </w:r>
          </w:p>
        </w:tc>
        <w:tc>
          <w:tcPr>
            <w:tcW w:w="9883" w:type="dxa"/>
            <w:tcBorders/>
            <w:vAlign w:val="center"/>
          </w:tcPr>
          <w:p>
            <w:pPr>
              <w:pStyle w:val="TableContents"/>
              <w:bidi w:val="0"/>
              <w:spacing w:before="0" w:after="283"/>
              <w:jc w:val="both"/>
              <w:rPr/>
            </w:pPr>
            <w:r>
              <w:rPr/>
              <w:t>The forfeiture of a Share shall not prejudice the right of the Company to any call already made or any instalment payment thereon.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
        <w:gridCol w:w="221"/>
        <w:gridCol w:w="9692"/>
      </w:tblGrid>
      <w:tr>
        <w:trPr/>
        <w:tc>
          <w:tcPr>
            <w:tcW w:w="292" w:type="dxa"/>
            <w:tcBorders/>
            <w:vAlign w:val="center"/>
          </w:tcPr>
          <w:p>
            <w:pPr>
              <w:pStyle w:val="TableContents"/>
              <w:bidi w:val="0"/>
              <w:spacing w:before="0" w:after="283"/>
              <w:jc w:val="both"/>
              <w:rPr/>
            </w:pPr>
            <w:r>
              <w:rPr/>
              <w:t>61.</w:t>
            </w:r>
          </w:p>
        </w:tc>
        <w:tc>
          <w:tcPr>
            <w:tcW w:w="221" w:type="dxa"/>
            <w:tcBorders/>
            <w:vAlign w:val="center"/>
          </w:tcPr>
          <w:p>
            <w:pPr>
              <w:pStyle w:val="TableContents"/>
              <w:bidi w:val="0"/>
              <w:spacing w:before="0" w:after="283"/>
              <w:jc w:val="both"/>
              <w:rPr/>
            </w:pPr>
            <w:r>
              <w:rPr/>
              <w:t>(a)</w:t>
            </w:r>
          </w:p>
        </w:tc>
        <w:tc>
          <w:tcPr>
            <w:tcW w:w="9692" w:type="dxa"/>
            <w:tcBorders/>
            <w:vAlign w:val="center"/>
          </w:tcPr>
          <w:p>
            <w:pPr>
              <w:pStyle w:val="TableContents"/>
              <w:bidi w:val="0"/>
              <w:spacing w:before="0" w:after="283"/>
              <w:jc w:val="both"/>
              <w:rPr/>
            </w:pPr>
            <w:r>
              <w:rPr/>
              <w:t>The provisions of these Articles as to forfeiture shall apply in the case of non-payment of any sum which, by terms of issue of a Share, becomes payable at a fixed time, whether on account of the nominal value of the Share or by way of premium, as if the same had been payable by virtue of a call duly made and notified.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(b)</w:t>
            </w:r>
          </w:p>
        </w:tc>
        <w:tc>
          <w:tcPr>
            <w:tcW w:w="9891" w:type="dxa"/>
            <w:tcBorders/>
            <w:vAlign w:val="center"/>
          </w:tcPr>
          <w:p>
            <w:pPr>
              <w:pStyle w:val="TableContents"/>
              <w:bidi w:val="0"/>
              <w:spacing w:before="0" w:after="283"/>
              <w:jc w:val="both"/>
              <w:rPr/>
            </w:pPr>
            <w:r>
              <w:rPr/>
              <w:t>In the event of a forfeiture of Shares the Shareholder shall be bound to deliver and shall forthwith deliver to the Company the certificate or certificates held by him for the Shares so forfeited and in any event the certificates representing Shares so forfeited shall be void and of no further effect.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both"/>
              <w:rPr/>
            </w:pPr>
            <w:r>
              <w:rPr/>
              <w:t>62.</w:t>
            </w:r>
          </w:p>
        </w:tc>
        <w:tc>
          <w:tcPr>
            <w:tcW w:w="9914" w:type="dxa"/>
            <w:tcBorders/>
            <w:vAlign w:val="center"/>
          </w:tcPr>
          <w:p>
            <w:pPr>
              <w:pStyle w:val="TableContents"/>
              <w:bidi w:val="0"/>
              <w:spacing w:before="0" w:after="283"/>
              <w:jc w:val="both"/>
              <w:rPr/>
            </w:pPr>
            <w:r>
              <w:rPr/>
              <w:t>Shares that the Company purchases, redeems or acquires (by way of surrender or otherwise) may, at the option of the Company, be cancelled immediately or held as Treasury Shares in accordance with the Companies Act. In the event that the Directors do not specify that the relevant Shares are to be held as Treasury Shares, such Shares shall be cancelled.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both"/>
              <w:rPr/>
            </w:pPr>
            <w:r>
              <w:rPr/>
              <w:t>63.</w:t>
            </w:r>
          </w:p>
        </w:tc>
        <w:tc>
          <w:tcPr>
            <w:tcW w:w="9906" w:type="dxa"/>
            <w:tcBorders/>
            <w:vAlign w:val="center"/>
          </w:tcPr>
          <w:p>
            <w:pPr>
              <w:pStyle w:val="TableContents"/>
              <w:bidi w:val="0"/>
              <w:spacing w:before="0" w:after="283"/>
              <w:jc w:val="both"/>
              <w:rPr/>
            </w:pPr>
            <w:r>
              <w:rPr/>
              <w:t>No dividend may be declared or paid, and no other distribution (whether in cash or otherwise) of the Company’s assets (including any distribution of assets to members on a winding up) may be declared or paid in respect of a Treasury Share.</w:t>
            </w:r>
          </w:p>
        </w:tc>
      </w:tr>
    </w:tbl>
    <w:p>
      <w:pPr>
        <w:pStyle w:val="TextBody"/>
        <w:bidi w:val="0"/>
        <w:spacing w:before="0" w:after="0"/>
        <w:ind w:left="0" w:right="0" w:hanging="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335"/>
        <w:gridCol w:w="9170"/>
      </w:tblGrid>
      <w:tr>
        <w:trPr/>
        <w:tc>
          <w:tcPr>
            <w:tcW w:w="335" w:type="dxa"/>
            <w:tcBorders/>
            <w:vAlign w:val="center"/>
          </w:tcPr>
          <w:p>
            <w:pPr>
              <w:pStyle w:val="TableContents"/>
              <w:bidi w:val="0"/>
              <w:spacing w:before="0" w:after="283"/>
              <w:jc w:val="both"/>
              <w:rPr/>
            </w:pPr>
            <w:r>
              <w:rPr/>
              <w:t>64.</w:t>
            </w:r>
          </w:p>
        </w:tc>
        <w:tc>
          <w:tcPr>
            <w:tcW w:w="9170" w:type="dxa"/>
            <w:tcBorders/>
            <w:vAlign w:val="center"/>
          </w:tcPr>
          <w:p>
            <w:pPr>
              <w:pStyle w:val="TableContents"/>
              <w:bidi w:val="0"/>
              <w:spacing w:before="0" w:after="283"/>
              <w:jc w:val="both"/>
              <w:rPr/>
            </w:pPr>
            <w:r>
              <w:rPr/>
              <w:t>The Company shall be entered in the Register as the holder of the Treasury Shares provided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pPr>
            <w:r>
              <w:rPr/>
              <w:t>(a)</w:t>
            </w:r>
          </w:p>
        </w:tc>
        <w:tc>
          <w:tcPr>
            <w:tcW w:w="9891" w:type="dxa"/>
            <w:tcBorders/>
            <w:vAlign w:val="center"/>
          </w:tcPr>
          <w:p>
            <w:pPr>
              <w:pStyle w:val="TableContents"/>
              <w:bidi w:val="0"/>
              <w:spacing w:before="0" w:after="283"/>
              <w:jc w:val="both"/>
              <w:rPr/>
            </w:pPr>
            <w:r>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(b)</w:t>
            </w:r>
          </w:p>
        </w:tc>
        <w:tc>
          <w:tcPr>
            <w:tcW w:w="9900" w:type="dxa"/>
            <w:tcBorders/>
            <w:vAlign w:val="center"/>
          </w:tcPr>
          <w:p>
            <w:pPr>
              <w:pStyle w:val="TableContents"/>
              <w:bidi w:val="0"/>
              <w:spacing w:before="0" w:after="283"/>
              <w:jc w:val="both"/>
              <w:rPr/>
            </w:pPr>
            <w:r>
              <w:rPr/>
              <w:t>a Treasury Share shall not be voted, directly or indirectly, at any meeting of the Company and shall not be counted in determining the total number of issued shares at any given time, whether for the purposes of these Articles or the Companies Act, save that an allotment of Shares as fully paid bonus shares in respect of a Treasury Share is permitted and Shares allotted as fully paid bonus shares in respect of a Treasury Share shall be treated as Treasury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both"/>
              <w:rPr/>
            </w:pPr>
            <w:r>
              <w:rPr/>
              <w:t>65.</w:t>
            </w:r>
          </w:p>
        </w:tc>
        <w:tc>
          <w:tcPr>
            <w:tcW w:w="9877" w:type="dxa"/>
            <w:tcBorders/>
            <w:vAlign w:val="center"/>
          </w:tcPr>
          <w:p>
            <w:pPr>
              <w:pStyle w:val="TableContents"/>
              <w:bidi w:val="0"/>
              <w:spacing w:before="0" w:after="283"/>
              <w:jc w:val="both"/>
              <w:rPr/>
            </w:pPr>
            <w:r>
              <w:rPr/>
              <w:t>Treasury Shares may be disposed of by the Company on such terms and conditions as determined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both"/>
              <w:rPr/>
            </w:pPr>
            <w:r>
              <w:rPr/>
              <w:t>66.</w:t>
            </w:r>
          </w:p>
        </w:tc>
        <w:tc>
          <w:tcPr>
            <w:tcW w:w="9919" w:type="dxa"/>
            <w:tcBorders/>
            <w:vAlign w:val="center"/>
          </w:tcPr>
          <w:p>
            <w:pPr>
              <w:pStyle w:val="TableContents"/>
              <w:bidi w:val="0"/>
              <w:spacing w:before="0" w:after="283"/>
              <w:jc w:val="both"/>
              <w:rPr/>
            </w:pPr>
            <w:r>
              <w:rPr/>
              <w:t>Other than the year of the Company’s adoption of these Articles, in each financial year during the Relevant Period, the Company shall hold a general meeting as its annual general meeting in addition to any other meeting in that year and shall specify the meeting as such in the notice calling it. The Company shall hold the annual general meeting within six months after the end of its financial year. The annual general meeting shall be held at such time and place as the Board may determine.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both"/>
              <w:rPr/>
            </w:pPr>
            <w:r>
              <w:rPr/>
              <w:t>67.</w:t>
            </w:r>
          </w:p>
        </w:tc>
        <w:tc>
          <w:tcPr>
            <w:tcW w:w="9923" w:type="dxa"/>
            <w:tcBorders/>
            <w:vAlign w:val="center"/>
          </w:tcPr>
          <w:p>
            <w:pPr>
              <w:pStyle w:val="TableContents"/>
              <w:bidi w:val="0"/>
              <w:spacing w:before="0" w:after="283"/>
              <w:jc w:val="both"/>
              <w:rPr/>
            </w:pPr>
            <w:r>
              <w:rPr/>
              <w:t>The Board may, at its absolute discretion, arrange for persons entitled to attend a general meeting to do so by either one or both of the following: (i) physical attendance at a location (the “</w:t>
            </w:r>
            <w:r>
              <w:rPr>
                <w:b/>
              </w:rPr>
              <w:t>Meeting Location</w:t>
            </w:r>
            <w:r>
              <w:rPr/>
              <w:t>”) or locations (the “</w:t>
            </w:r>
            <w:r>
              <w:rPr>
                <w:b/>
              </w:rPr>
              <w:t>Meeting Locations</w:t>
            </w:r>
            <w:r>
              <w:rPr/>
              <w:t>”) as determined by the Board in its absolute discretion and (ii) virtual attendance by means of electronic facilities as determined by the Board in its absolute discretion. Without prejudice to any other provision of these Articles, any Shareholder or any proxy physically attending in any such way and any Shareholder or any proxy virtually attending in any electronic meeting or any hybrid meeting in any such way is deemed to be present at and shall be counted in the quorum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335"/>
        <w:gridCol w:w="4670"/>
      </w:tblGrid>
      <w:tr>
        <w:trPr/>
        <w:tc>
          <w:tcPr>
            <w:tcW w:w="335" w:type="dxa"/>
            <w:tcBorders/>
            <w:vAlign w:val="center"/>
          </w:tcPr>
          <w:p>
            <w:pPr>
              <w:pStyle w:val="TableContents"/>
              <w:bidi w:val="0"/>
              <w:spacing w:before="0" w:after="283"/>
              <w:jc w:val="both"/>
              <w:rPr/>
            </w:pPr>
            <w:r>
              <w:rPr/>
              <w:t>68.</w:t>
            </w:r>
          </w:p>
        </w:tc>
        <w:tc>
          <w:tcPr>
            <w:tcW w:w="4670" w:type="dxa"/>
            <w:tcBorders/>
            <w:vAlign w:val="center"/>
          </w:tcPr>
          <w:p>
            <w:pPr>
              <w:pStyle w:val="TableContents"/>
              <w:bidi w:val="0"/>
              <w:spacing w:before="0" w:after="283"/>
              <w:jc w:val="both"/>
              <w:rPr/>
            </w:pPr>
            <w:r>
              <w:rPr/>
              <w:t>All general meetings are subject to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both"/>
              <w:rPr/>
            </w:pPr>
            <w:r>
              <w:rPr/>
              <w:t>(a)</w:t>
            </w:r>
          </w:p>
        </w:tc>
        <w:tc>
          <w:tcPr>
            <w:tcW w:w="9894" w:type="dxa"/>
            <w:tcBorders/>
            <w:vAlign w:val="center"/>
          </w:tcPr>
          <w:p>
            <w:pPr>
              <w:pStyle w:val="TableContents"/>
              <w:bidi w:val="0"/>
              <w:spacing w:before="0" w:after="283"/>
              <w:jc w:val="both"/>
              <w:rPr/>
            </w:pPr>
            <w:r>
              <w:rPr/>
              <w:t>where all the Shareholders or their proxies physically attend at more than one Meeting Location, the meeting shall be treated as having commenced if it has commenced at the Principal Meeting Place;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both"/>
              <w:rPr/>
            </w:pPr>
            <w:r>
              <w:rPr/>
              <w:t>(b)</w:t>
            </w:r>
          </w:p>
        </w:tc>
        <w:tc>
          <w:tcPr>
            <w:tcW w:w="9879" w:type="dxa"/>
            <w:tcBorders/>
            <w:vAlign w:val="center"/>
          </w:tcPr>
          <w:p>
            <w:pPr>
              <w:pStyle w:val="TableContents"/>
              <w:bidi w:val="0"/>
              <w:spacing w:before="0" w:after="283"/>
              <w:jc w:val="both"/>
              <w:rPr/>
            </w:pPr>
            <w:r>
              <w:rPr/>
              <w:t>in the case of a hybrid meeting, the meeting shall be treated as having commenced if it has commenced at the Meeting Location or, if there is more than one Meeting Location, the Principal Meeting Place;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both"/>
              <w:rPr/>
            </w:pPr>
            <w:r>
              <w:rPr/>
              <w:t>(c)</w:t>
            </w:r>
          </w:p>
        </w:tc>
        <w:tc>
          <w:tcPr>
            <w:tcW w:w="9887" w:type="dxa"/>
            <w:tcBorders/>
            <w:vAlign w:val="center"/>
          </w:tcPr>
          <w:p>
            <w:pPr>
              <w:pStyle w:val="TableContents"/>
              <w:bidi w:val="0"/>
              <w:spacing w:before="0" w:after="283"/>
              <w:jc w:val="both"/>
              <w:rPr/>
            </w:pPr>
            <w:r>
              <w:rPr/>
              <w:t>in the case of an electronic meeting, the meeting shall be treated as having commenced if it has commenced at the place where the chair of such meeting is physically present;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both"/>
              <w:rPr/>
            </w:pPr>
            <w:r>
              <w:rPr/>
              <w:t>(d)</w:t>
            </w:r>
          </w:p>
        </w:tc>
        <w:tc>
          <w:tcPr>
            <w:tcW w:w="9905" w:type="dxa"/>
            <w:tcBorders/>
            <w:vAlign w:val="center"/>
          </w:tcPr>
          <w:p>
            <w:pPr>
              <w:pStyle w:val="TableContents"/>
              <w:bidi w:val="0"/>
              <w:spacing w:before="0" w:after="283"/>
              <w:jc w:val="both"/>
              <w:rPr/>
            </w:pPr>
            <w:r>
              <w:rPr/>
              <w:t>Shareholders present in person or by proxy at a Meeting Location and/or Shareholders or their proxies virtually attending any electronic meeting or hybrid meeting by means of electronic facilities shall be counted in the quorum for and entitled to vote at the meeting in question, and that meeting shall be duly constituted and its proceedings valid provided that, where applicable, the chair of the meeting is satisfied that adequate electronic facilities are available throughout the meeting to ensure that Shareholders attending and participating at a meeting by means of electronic facilities are able to participate in the business for which the meeting has been convened;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pPr>
            <w:r>
              <w:rPr/>
              <w:t>(e)</w:t>
            </w:r>
          </w:p>
        </w:tc>
        <w:tc>
          <w:tcPr>
            <w:tcW w:w="9924" w:type="dxa"/>
            <w:tcBorders/>
            <w:vAlign w:val="center"/>
          </w:tcPr>
          <w:p>
            <w:pPr>
              <w:pStyle w:val="TableContents"/>
              <w:bidi w:val="0"/>
              <w:spacing w:before="0" w:after="283"/>
              <w:jc w:val="both"/>
              <w:rPr/>
            </w:pPr>
            <w:r>
              <w:rPr/>
              <w:t>subject to Article 70, where Shareholders (and any of their proxies) attend a meeting by being present at one of the Meeting Locations and/or where Shareholders (and any of their proxies) virtually attend any electronic meeting or hybrid meeting by means of electronic facilities, a failure (for any reason) of the electronic facilities or communication equipment, or any other failure in the arrangements for enabling those in a Meeting Location other than the Principal Meeting Place to participate in the business for which the meeting has been convened or in the case of an electronic meeting or a hybrid meeting, the inability of one or more Shareholders or proxies to access, or continue to access, the electronic facilities despite adequate electronic facilities having been made available by the Company, shall not affect the validity of the meeting or the resolutions passed, or any business conducted there or any action taken pursuant to such business provided that there is a quorum present throughout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both"/>
              <w:rPr/>
            </w:pPr>
            <w:r>
              <w:rPr/>
              <w:t>(f)</w:t>
            </w:r>
          </w:p>
        </w:tc>
        <w:tc>
          <w:tcPr>
            <w:tcW w:w="9928" w:type="dxa"/>
            <w:tcBorders/>
            <w:vAlign w:val="center"/>
          </w:tcPr>
          <w:p>
            <w:pPr>
              <w:pStyle w:val="TableContents"/>
              <w:bidi w:val="0"/>
              <w:spacing w:before="0" w:after="283"/>
              <w:jc w:val="both"/>
              <w:rPr/>
            </w:pPr>
            <w:r>
              <w:rPr/>
              <w:t>if there is more than one Meeting Location, the provisions of these Articles concerning the service and giving of notice for the meeting, and the time for lodging proxies, shall apply by reference to the Principal Meeting Place;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(g)</w:t>
            </w:r>
          </w:p>
        </w:tc>
        <w:tc>
          <w:tcPr>
            <w:tcW w:w="9868" w:type="dxa"/>
            <w:tcBorders/>
            <w:vAlign w:val="center"/>
          </w:tcPr>
          <w:p>
            <w:pPr>
              <w:pStyle w:val="TableContents"/>
              <w:bidi w:val="0"/>
              <w:spacing w:before="0" w:after="283"/>
              <w:jc w:val="both"/>
              <w:rPr/>
            </w:pPr>
            <w:r>
              <w:rPr/>
              <w:t>in the case of an electronic meeting or (unless Article 68(f) applies) a hybrid meeting, the time for lodging proxies shall be as stated in the notice for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both"/>
              <w:rPr/>
            </w:pPr>
            <w:r>
              <w:rPr/>
              <w:t>69.</w:t>
            </w:r>
          </w:p>
        </w:tc>
        <w:tc>
          <w:tcPr>
            <w:tcW w:w="9920" w:type="dxa"/>
            <w:tcBorders/>
            <w:vAlign w:val="center"/>
          </w:tcPr>
          <w:p>
            <w:pPr>
              <w:pStyle w:val="TableContents"/>
              <w:bidi w:val="0"/>
              <w:spacing w:before="0" w:after="283"/>
              <w:jc w:val="both"/>
              <w:rPr/>
            </w:pPr>
            <w:r>
              <w:rPr/>
              <w:t>The Board and, at any general meeting, the chair of the meeting may from time to time make arrangements for managing attendance and/or participation and/or voting at the Principal Meeting Place, any other Meeting Location and/or any electronic meeting or a hybrid meeting (whether involving the issue of tickets or some other means of identification, passcode, seat reservation, electronic voting or otherwise) as it shall in its absolute discretion consider appropriate, and may from time to time change any such arrangements.</w:t>
            </w:r>
          </w:p>
        </w:tc>
      </w:tr>
    </w:tbl>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35"/>
        <w:gridCol w:w="4880"/>
      </w:tblGrid>
      <w:tr>
        <w:trPr/>
        <w:tc>
          <w:tcPr>
            <w:tcW w:w="335" w:type="dxa"/>
            <w:tcBorders/>
            <w:vAlign w:val="center"/>
          </w:tcPr>
          <w:p>
            <w:pPr>
              <w:pStyle w:val="TableContents"/>
              <w:bidi w:val="0"/>
              <w:spacing w:before="0" w:after="283"/>
              <w:jc w:val="both"/>
              <w:rPr/>
            </w:pPr>
            <w:r>
              <w:rPr/>
              <w:t>70.</w:t>
            </w:r>
          </w:p>
        </w:tc>
        <w:tc>
          <w:tcPr>
            <w:tcW w:w="4880" w:type="dxa"/>
            <w:tcBorders/>
            <w:vAlign w:val="center"/>
          </w:tcPr>
          <w:p>
            <w:pPr>
              <w:pStyle w:val="TableContents"/>
              <w:bidi w:val="0"/>
              <w:spacing w:before="0" w:after="283"/>
              <w:jc w:val="both"/>
              <w:rPr/>
            </w:pPr>
            <w:r>
              <w:rPr/>
              <w:t>If it appears to the chair of the general meeting that: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both"/>
              <w:rPr/>
            </w:pPr>
            <w:r>
              <w:rPr/>
              <w:t>(a)</w:t>
            </w:r>
          </w:p>
        </w:tc>
        <w:tc>
          <w:tcPr>
            <w:tcW w:w="9910" w:type="dxa"/>
            <w:tcBorders/>
            <w:vAlign w:val="center"/>
          </w:tcPr>
          <w:p>
            <w:pPr>
              <w:pStyle w:val="TableContents"/>
              <w:bidi w:val="0"/>
              <w:spacing w:before="0" w:after="283"/>
              <w:jc w:val="both"/>
              <w:rPr/>
            </w:pPr>
            <w:r>
              <w:rPr/>
              <w:t>the electronic facilities at the Principal Meeting Place or at any other Meeting Location at which the meeting may be attended have become inadequate for the purposes of conducting the meeting or are otherwise not sufficient to allow the meeting to be conducted substantially in accordance with the provisions set out in the notice of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both"/>
              <w:rPr/>
            </w:pPr>
            <w:r>
              <w:rPr/>
              <w:t>(b)</w:t>
            </w:r>
          </w:p>
        </w:tc>
        <w:tc>
          <w:tcPr>
            <w:tcW w:w="9861" w:type="dxa"/>
            <w:tcBorders/>
            <w:vAlign w:val="center"/>
          </w:tcPr>
          <w:p>
            <w:pPr>
              <w:pStyle w:val="TableContents"/>
              <w:bidi w:val="0"/>
              <w:spacing w:before="0" w:after="283"/>
              <w:jc w:val="both"/>
              <w:rPr/>
            </w:pPr>
            <w:r>
              <w:rPr/>
              <w:t>in the case of an electronic meeting or a hybrid meeting, electronic facilities being made available by the Company have become inadequate;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pPr>
            <w:r>
              <w:rPr/>
              <w:t>(c)</w:t>
            </w:r>
          </w:p>
        </w:tc>
        <w:tc>
          <w:tcPr>
            <w:tcW w:w="9885" w:type="dxa"/>
            <w:tcBorders/>
            <w:vAlign w:val="center"/>
          </w:tcPr>
          <w:p>
            <w:pPr>
              <w:pStyle w:val="TableContents"/>
              <w:bidi w:val="0"/>
              <w:spacing w:before="0" w:after="283"/>
              <w:jc w:val="both"/>
              <w:rPr/>
            </w:pPr>
            <w:r>
              <w:rPr/>
              <w:t>it is not possible to ascertain the view of those present or to give all persons entitled to do so a reasonable opportunity to communicate and/or vote at the meeting;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sz w:val="20"/>
              </w:rPr>
            </w:pPr>
            <w:r>
              <w:rPr>
                <w:sz w:val="20"/>
              </w:rPr>
              <w:t>(d)</w:t>
            </w:r>
          </w:p>
        </w:tc>
        <w:tc>
          <w:tcPr>
            <w:tcW w:w="9906" w:type="dxa"/>
            <w:tcBorders/>
            <w:vAlign w:val="center"/>
          </w:tcPr>
          <w:p>
            <w:pPr>
              <w:pStyle w:val="TableContents"/>
              <w:bidi w:val="0"/>
              <w:spacing w:before="0" w:after="283"/>
              <w:jc w:val="both"/>
              <w:rPr>
                <w:sz w:val="20"/>
              </w:rPr>
            </w:pPr>
            <w:r>
              <w:rPr>
                <w:sz w:val="20"/>
              </w:rPr>
              <w:t>there is violence or the threat of violence, unruly behaviour or other disruption occurring at the meeting or it is not possible to secure the proper and orderly conduct of the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without prejudice to any other power which the chair of the meeting may have under these Articles or at common law, the chair may, at their absolute discretion, without the consent of the meeting, and before or after the meeting has started and irrespective of whether a quorum is present, interrupt or adjourn the meeting (including adjournment for an indefinite period). All business conducted at the meeting up to the time of such adjournment shall be valid.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71.</w:t>
            </w:r>
          </w:p>
        </w:tc>
        <w:tc>
          <w:tcPr>
            <w:tcW w:w="9955" w:type="dxa"/>
            <w:tcBorders/>
            <w:vAlign w:val="center"/>
          </w:tcPr>
          <w:p>
            <w:pPr>
              <w:pStyle w:val="TableContents"/>
              <w:bidi w:val="0"/>
              <w:spacing w:before="0" w:after="283"/>
              <w:jc w:val="both"/>
              <w:rPr>
                <w:sz w:val="20"/>
              </w:rPr>
            </w:pPr>
            <w:r>
              <w:rPr>
                <w:sz w:val="20"/>
              </w:rPr>
              <w:t>The Board and, at any general meeting, the chair of the meeting may make any arrangement, determine and/or implement any requirements, procedures or measures which the Board or the chair of the meeting, as the case may be, considers appropriate to ensure the security and facilitate the orderly and effective conduct of a meeting (including, without limitation, requirements for evidence of identity to be produced by those attending the meeting, and determining the number and frequency of and the time allowed for questions that may be raised at a meeting). Shareholders shall also comply with all requirements imposed by the owner of the premises at which the meeting is held. Any decision made under this Article shall be final and conclusive and a person who refuses to comply with any such arrangements or requirements may be refused entry to the meeting or ejected (physically or electronically) from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sz w:val="20"/>
              </w:rPr>
            </w:pPr>
            <w:r>
              <w:rPr>
                <w:sz w:val="20"/>
              </w:rPr>
              <w:t>72.</w:t>
            </w:r>
          </w:p>
        </w:tc>
        <w:tc>
          <w:tcPr>
            <w:tcW w:w="9947" w:type="dxa"/>
            <w:tcBorders/>
            <w:vAlign w:val="center"/>
          </w:tcPr>
          <w:p>
            <w:pPr>
              <w:pStyle w:val="TableContents"/>
              <w:bidi w:val="0"/>
              <w:spacing w:before="0" w:after="283"/>
              <w:jc w:val="both"/>
              <w:rPr>
                <w:sz w:val="20"/>
              </w:rPr>
            </w:pPr>
            <w:r>
              <w:rPr>
                <w:sz w:val="20"/>
              </w:rPr>
              <w:t>All persons seeking to attend and participate in an electronic meeting or a hybrid meeting shall be responsible for maintaining adequate facilities to enable them to do so. Subject to Article 70, any inability of a person or persons to attend or participate in a general meeting by way of electronic facilities shall not invalidate the proceedings of and/or resolutions passed at that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sz w:val="20"/>
              </w:rPr>
            </w:pPr>
            <w:r>
              <w:rPr>
                <w:sz w:val="20"/>
              </w:rPr>
              <w:t>73.</w:t>
            </w:r>
          </w:p>
        </w:tc>
        <w:tc>
          <w:tcPr>
            <w:tcW w:w="9946" w:type="dxa"/>
            <w:tcBorders/>
            <w:vAlign w:val="center"/>
          </w:tcPr>
          <w:p>
            <w:pPr>
              <w:pStyle w:val="TableContents"/>
              <w:bidi w:val="0"/>
              <w:spacing w:before="0" w:after="283"/>
              <w:jc w:val="both"/>
              <w:rPr>
                <w:sz w:val="20"/>
              </w:rPr>
            </w:pPr>
            <w:r>
              <w:rPr>
                <w:sz w:val="20"/>
              </w:rPr>
              <w:t>Without prejudice to Articles 67 to 72, a meeting may also be held by means of such telephone, electronic or other communication facilities as permit all persons participating in the meeting to communicate with each other simultaneously and instantaneously, and participation in such meeting shall be deemed to constitute presence at such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both"/>
              <w:rPr>
                <w:sz w:val="20"/>
              </w:rPr>
            </w:pPr>
            <w:r>
              <w:rPr>
                <w:sz w:val="20"/>
              </w:rPr>
              <w:t>74.</w:t>
            </w:r>
          </w:p>
        </w:tc>
        <w:tc>
          <w:tcPr>
            <w:tcW w:w="9947" w:type="dxa"/>
            <w:tcBorders/>
            <w:vAlign w:val="center"/>
          </w:tcPr>
          <w:p>
            <w:pPr>
              <w:pStyle w:val="TableContents"/>
              <w:bidi w:val="0"/>
              <w:spacing w:before="0" w:after="283"/>
              <w:jc w:val="both"/>
              <w:rPr>
                <w:sz w:val="20"/>
              </w:rPr>
            </w:pPr>
            <w:r>
              <w:rPr>
                <w:sz w:val="20"/>
              </w:rPr>
              <w:t>All general meetings other than annual general meetings shall be called extraordinary general meetings. All general meetings (including an annual general meeting or any adjourned meeting) may be held as a physical meeting in any part of the world and at one or more locations as provided in Article 67, as a hybrid meeting or as an electronic meeting, as may be determined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sz w:val="20"/>
              </w:rPr>
            </w:pPr>
            <w:r>
              <w:rPr>
                <w:sz w:val="20"/>
              </w:rPr>
              <w:t>75.</w:t>
            </w:r>
          </w:p>
        </w:tc>
        <w:tc>
          <w:tcPr>
            <w:tcW w:w="9956" w:type="dxa"/>
            <w:tcBorders/>
            <w:vAlign w:val="center"/>
          </w:tcPr>
          <w:p>
            <w:pPr>
              <w:pStyle w:val="TableContents"/>
              <w:bidi w:val="0"/>
              <w:spacing w:before="0" w:after="283"/>
              <w:jc w:val="both"/>
              <w:rPr>
                <w:sz w:val="20"/>
              </w:rPr>
            </w:pPr>
            <w:r>
              <w:rPr>
                <w:sz w:val="20"/>
              </w:rPr>
              <w:t>The Board may, whenever it thinks fit, convene an extraordinary general meeting. Extraordinary general meetings shall also be convened on the requisition of one or more Shareholders holding, at the date of deposit of the requisition, not less than one tenth of the voting rights, on a one vote per Share basis, in the share capital of the Company. Such requisition shall be made in writing to the Board or the Secretary for the purpose of requiring an extraordinary general meeting to be called by the Board for the transaction of any business specified in such requisition. Such meeting shall be held within two Months after the deposit of such requisition. If within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 The requisitionist(s) may add resolutions to the agenda of a general meeting requisitioned under this Article.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sz w:val="20"/>
              </w:rPr>
            </w:pPr>
            <w:r>
              <w:rPr>
                <w:sz w:val="20"/>
              </w:rPr>
              <w:t>76.</w:t>
            </w:r>
          </w:p>
        </w:tc>
        <w:tc>
          <w:tcPr>
            <w:tcW w:w="9958" w:type="dxa"/>
            <w:tcBorders/>
            <w:vAlign w:val="center"/>
          </w:tcPr>
          <w:p>
            <w:pPr>
              <w:pStyle w:val="TableContents"/>
              <w:bidi w:val="0"/>
              <w:spacing w:before="0" w:after="283"/>
              <w:jc w:val="both"/>
              <w:rPr>
                <w:sz w:val="20"/>
              </w:rPr>
            </w:pPr>
            <w:r>
              <w:rPr>
                <w:sz w:val="20"/>
              </w:rPr>
              <w:t>An annual general meeting of the Company shall be called by at least 21 days’ notice in writing, and a general meeting of the Company, other than an annual general meeting, shall be called by at least 14 days’ notice in writing. The notice shall be exclusive of the day on which it is served or deemed to be served and of the day for which it is given, and shall specify (i) the time, date and agenda of the meeting (ii) save for an electronic meeting, the place of the meeting and if there is more than one Meeting Location as determined by the Board pursuant to Article 67, the principal place of the meeting (such principal place of the meeting being the “</w:t>
            </w:r>
            <w:r>
              <w:rPr>
                <w:b/>
                <w:sz w:val="20"/>
              </w:rPr>
              <w:t>Principal Meeting Place</w:t>
            </w:r>
            <w:r>
              <w:rPr>
                <w:sz w:val="20"/>
              </w:rPr>
              <w:t>”), (iii) if the general meeting is to be a hybrid meeting or an electronic meeting, the notice shall include a statement to that effect and with details of the electronic facilities for attendance and participation by electronic means at the meeting or where such details will be made available by the Company prior to the meeting, and (iv) particulars of the resolutions to be considered at that meeting and in the case of special business (as defined in Article 78), the general nature of that business, and shall be given, in manner hereinafter mentioned or in such other manner, if any, as may be prescribed by the Company in general meeting, to such persons as are, under these Articles, entitled to receive such notices from the Company, provided that a meeting of the Company shall notwithstanding that it is called by shorter notice than that specified in this Article be deemed to have been duly called if it can be demonstrated to the HK Stock Exchange that reasonable written notice can be given in less time, and it is so agreed: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both"/>
              <w:rPr>
                <w:sz w:val="20"/>
              </w:rPr>
            </w:pPr>
            <w:r>
              <w:rPr>
                <w:sz w:val="20"/>
              </w:rPr>
              <w:t>(a)</w:t>
            </w:r>
          </w:p>
        </w:tc>
        <w:tc>
          <w:tcPr>
            <w:tcW w:w="9902" w:type="dxa"/>
            <w:tcBorders/>
            <w:vAlign w:val="center"/>
          </w:tcPr>
          <w:p>
            <w:pPr>
              <w:pStyle w:val="TableContents"/>
              <w:bidi w:val="0"/>
              <w:spacing w:before="0" w:after="283"/>
              <w:jc w:val="both"/>
              <w:rPr>
                <w:sz w:val="20"/>
              </w:rPr>
            </w:pPr>
            <w:r>
              <w:rPr>
                <w:sz w:val="20"/>
              </w:rPr>
              <w:t>in the case of a meeting called as the annual general meeting, by all the Shareholders entitled to attend and vote thereat;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both"/>
              <w:rPr>
                <w:sz w:val="20"/>
              </w:rPr>
            </w:pPr>
            <w:r>
              <w:rPr>
                <w:sz w:val="20"/>
              </w:rPr>
              <w:t>(b)</w:t>
            </w:r>
          </w:p>
        </w:tc>
        <w:tc>
          <w:tcPr>
            <w:tcW w:w="9918" w:type="dxa"/>
            <w:tcBorders/>
            <w:vAlign w:val="center"/>
          </w:tcPr>
          <w:p>
            <w:pPr>
              <w:pStyle w:val="TableContents"/>
              <w:bidi w:val="0"/>
              <w:spacing w:before="0" w:after="283"/>
              <w:jc w:val="both"/>
              <w:rPr>
                <w:sz w:val="20"/>
              </w:rPr>
            </w:pPr>
            <w:r>
              <w:rPr>
                <w:sz w:val="20"/>
              </w:rPr>
              <w:t>in the case of any other meeting, by a majority in number of the Shareholders having a right to attend and vote at the meeting, being a majority together holding not less than 95% of the total voting rights at the meeting of all members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235"/>
        <w:gridCol w:w="9667"/>
      </w:tblGrid>
      <w:tr>
        <w:trPr/>
        <w:tc>
          <w:tcPr>
            <w:tcW w:w="303" w:type="dxa"/>
            <w:tcBorders/>
            <w:vAlign w:val="center"/>
          </w:tcPr>
          <w:p>
            <w:pPr>
              <w:pStyle w:val="TableContents"/>
              <w:bidi w:val="0"/>
              <w:spacing w:before="0" w:after="283"/>
              <w:jc w:val="left"/>
              <w:rPr/>
            </w:pPr>
            <w:r>
              <w:rPr/>
              <w:t>77.</w:t>
            </w:r>
          </w:p>
        </w:tc>
        <w:tc>
          <w:tcPr>
            <w:tcW w:w="235" w:type="dxa"/>
            <w:tcBorders/>
            <w:vAlign w:val="center"/>
          </w:tcPr>
          <w:p>
            <w:pPr>
              <w:pStyle w:val="TableContents"/>
              <w:bidi w:val="0"/>
              <w:spacing w:before="0" w:after="283"/>
              <w:jc w:val="left"/>
              <w:rPr/>
            </w:pPr>
            <w:r>
              <w:rPr/>
              <w:t>(a)</w:t>
            </w:r>
          </w:p>
        </w:tc>
        <w:tc>
          <w:tcPr>
            <w:tcW w:w="9667" w:type="dxa"/>
            <w:tcBorders/>
            <w:vAlign w:val="center"/>
          </w:tcPr>
          <w:p>
            <w:pPr>
              <w:pStyle w:val="TableContents"/>
              <w:bidi w:val="0"/>
              <w:spacing w:before="0" w:after="283"/>
              <w:jc w:val="both"/>
              <w:rPr/>
            </w:pPr>
            <w:r>
              <w:rPr/>
              <w:t>The accidental omission to give any notice to, or the non-receipt of any notice by, any person entitled to receive notice shall not invalidate any resolution passed or any proceedings at any such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both"/>
              <w:rPr>
                <w:sz w:val="20"/>
              </w:rPr>
            </w:pPr>
            <w:r>
              <w:rPr>
                <w:sz w:val="20"/>
              </w:rPr>
              <w:t>(b)</w:t>
            </w:r>
          </w:p>
        </w:tc>
        <w:tc>
          <w:tcPr>
            <w:tcW w:w="9929" w:type="dxa"/>
            <w:tcBorders/>
            <w:vAlign w:val="center"/>
          </w:tcPr>
          <w:p>
            <w:pPr>
              <w:pStyle w:val="TableContents"/>
              <w:bidi w:val="0"/>
              <w:spacing w:before="0" w:after="283"/>
              <w:jc w:val="both"/>
              <w:rPr>
                <w:sz w:val="20"/>
              </w:rPr>
            </w:pPr>
            <w:r>
              <w:rPr>
                <w:sz w:val="20"/>
              </w:rPr>
              <w:t>In the case where forms of proxy or notice of appointment of corporate representative are to be sent out with any notice, the accidental omission to send such forms of proxy or notice of appointment of corporate representative to, or the non-receipt of such forms by, any person entitled to receive notice of the relevant meeting shall not invalidate any resolution passed or any proceeding at any such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both"/>
              <w:rPr>
                <w:sz w:val="20"/>
              </w:rPr>
            </w:pPr>
            <w:r>
              <w:rPr>
                <w:sz w:val="20"/>
              </w:rPr>
              <w:t>78.</w:t>
            </w:r>
          </w:p>
        </w:tc>
        <w:tc>
          <w:tcPr>
            <w:tcW w:w="9941" w:type="dxa"/>
            <w:tcBorders/>
            <w:vAlign w:val="center"/>
          </w:tcPr>
          <w:p>
            <w:pPr>
              <w:pStyle w:val="TableContents"/>
              <w:bidi w:val="0"/>
              <w:spacing w:before="0" w:after="283"/>
              <w:jc w:val="both"/>
              <w:rPr>
                <w:sz w:val="20"/>
              </w:rPr>
            </w:pPr>
            <w:r>
              <w:rPr>
                <w:sz w:val="20"/>
              </w:rPr>
              <w:t>All business shall be deemed special that is transacted at an extraordinary general meeting and also all business shall be deemed special that is transacted at an annual general meeting with the exception of the following, which shall be deemed ordinary business:</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230"/>
        <w:gridCol w:w="37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(a)</w:t>
            </w:r>
          </w:p>
        </w:tc>
        <w:tc>
          <w:tcPr>
            <w:tcW w:w="3755" w:type="dxa"/>
            <w:tcBorders/>
            <w:vAlign w:val="center"/>
          </w:tcPr>
          <w:p>
            <w:pPr>
              <w:pStyle w:val="TableContents"/>
              <w:bidi w:val="0"/>
              <w:spacing w:before="0" w:after="283"/>
              <w:jc w:val="both"/>
              <w:rPr>
                <w:sz w:val="20"/>
              </w:rPr>
            </w:pPr>
            <w:r>
              <w:rPr>
                <w:sz w:val="20"/>
              </w:rPr>
              <w:t>the declaration and sanctioning of Dividends;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both"/>
              <w:rPr>
                <w:sz w:val="20"/>
              </w:rPr>
            </w:pPr>
            <w:r>
              <w:rPr>
                <w:sz w:val="20"/>
              </w:rPr>
              <w:t>(b)</w:t>
            </w:r>
          </w:p>
        </w:tc>
        <w:tc>
          <w:tcPr>
            <w:tcW w:w="9906" w:type="dxa"/>
            <w:tcBorders/>
            <w:vAlign w:val="center"/>
          </w:tcPr>
          <w:p>
            <w:pPr>
              <w:pStyle w:val="TableContents"/>
              <w:bidi w:val="0"/>
              <w:spacing w:before="0" w:after="283"/>
              <w:jc w:val="both"/>
              <w:rPr>
                <w:sz w:val="20"/>
              </w:rPr>
            </w:pPr>
            <w:r>
              <w:rPr>
                <w:sz w:val="20"/>
              </w:rPr>
              <w:t>the consideration and adoption of the accounts and balance sheets and the reports of the Directors and Auditors and other documents required to be annexed to the balance sheets;</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30"/>
        <w:gridCol w:w="40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(c)</w:t>
            </w:r>
          </w:p>
        </w:tc>
        <w:tc>
          <w:tcPr>
            <w:tcW w:w="4070" w:type="dxa"/>
            <w:tcBorders/>
            <w:vAlign w:val="center"/>
          </w:tcPr>
          <w:p>
            <w:pPr>
              <w:pStyle w:val="TableContents"/>
              <w:bidi w:val="0"/>
              <w:spacing w:before="0" w:after="283"/>
              <w:jc w:val="both"/>
              <w:rPr>
                <w:sz w:val="20"/>
              </w:rPr>
            </w:pPr>
            <w:r>
              <w:rPr>
                <w:sz w:val="20"/>
              </w:rPr>
              <w:t>the election of Directors in place of those retiring;</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245"/>
        <w:gridCol w:w="23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(d)</w:t>
            </w:r>
          </w:p>
        </w:tc>
        <w:tc>
          <w:tcPr>
            <w:tcW w:w="2390" w:type="dxa"/>
            <w:tcBorders/>
            <w:vAlign w:val="center"/>
          </w:tcPr>
          <w:p>
            <w:pPr>
              <w:pStyle w:val="TableContents"/>
              <w:bidi w:val="0"/>
              <w:spacing w:before="0" w:after="283"/>
              <w:jc w:val="both"/>
              <w:rPr>
                <w:sz w:val="20"/>
              </w:rPr>
            </w:pPr>
            <w:r>
              <w:rPr>
                <w:sz w:val="20"/>
              </w:rPr>
              <w:t>the appointment of Auditors;</w:t>
            </w:r>
          </w:p>
        </w:tc>
      </w:tr>
    </w:tbl>
    <w:p>
      <w:pPr>
        <w:pStyle w:val="TextBody"/>
        <w:bidi w:val="0"/>
        <w:spacing w:before="0" w:after="0"/>
        <w:ind w:left="0" w:right="0" w:hanging="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230"/>
        <w:gridCol w:w="91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(e)</w:t>
            </w:r>
          </w:p>
        </w:tc>
        <w:tc>
          <w:tcPr>
            <w:tcW w:w="9140" w:type="dxa"/>
            <w:tcBorders/>
            <w:vAlign w:val="center"/>
          </w:tcPr>
          <w:p>
            <w:pPr>
              <w:pStyle w:val="TableContents"/>
              <w:bidi w:val="0"/>
              <w:spacing w:before="0" w:after="283"/>
              <w:jc w:val="both"/>
              <w:rPr>
                <w:sz w:val="20"/>
              </w:rPr>
            </w:pPr>
            <w:r>
              <w:rPr>
                <w:sz w:val="20"/>
              </w:rPr>
              <w:t>the fixing of, or the determining of the method of fixing of the remuneration of the Directors and of the Auditors;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both"/>
              <w:rPr>
                <w:sz w:val="20"/>
              </w:rPr>
            </w:pPr>
            <w:r>
              <w:rPr>
                <w:sz w:val="20"/>
              </w:rPr>
              <w:t>(f)</w:t>
            </w:r>
          </w:p>
        </w:tc>
        <w:tc>
          <w:tcPr>
            <w:tcW w:w="9973" w:type="dxa"/>
            <w:tcBorders/>
            <w:vAlign w:val="center"/>
          </w:tcPr>
          <w:p>
            <w:pPr>
              <w:pStyle w:val="TableContents"/>
              <w:bidi w:val="0"/>
              <w:spacing w:before="0" w:after="283"/>
              <w:jc w:val="both"/>
              <w:rPr>
                <w:sz w:val="20"/>
              </w:rPr>
            </w:pPr>
            <w:r>
              <w:rPr>
                <w:sz w:val="20"/>
              </w:rPr>
              <w:t>the granting of any mandate or authority to the Board to offer, allot, grant options over, or otherwise dispose of the unissued Shares representing not more than 20% (or such other percentage as may from time to time be specified in the Listing Rules) in nominal value of its then existing issued share capital and the number of any securities repurchased pursuant to paragraph (g) of this Article; and</w:t>
            </w:r>
          </w:p>
        </w:tc>
      </w:tr>
    </w:tbl>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45"/>
        <w:gridCol w:w="77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(g)</w:t>
            </w:r>
          </w:p>
        </w:tc>
        <w:tc>
          <w:tcPr>
            <w:tcW w:w="7700" w:type="dxa"/>
            <w:tcBorders/>
            <w:vAlign w:val="center"/>
          </w:tcPr>
          <w:p>
            <w:pPr>
              <w:pStyle w:val="TableContents"/>
              <w:bidi w:val="0"/>
              <w:spacing w:before="0" w:after="283"/>
              <w:jc w:val="both"/>
              <w:rPr>
                <w:sz w:val="20"/>
              </w:rPr>
            </w:pPr>
            <w:r>
              <w:rPr>
                <w:sz w:val="20"/>
              </w:rPr>
              <w:t>the granting of any mandate or authority to the Board to repurchase securities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sz w:val="20"/>
              </w:rPr>
            </w:pPr>
            <w:r>
              <w:rPr>
                <w:sz w:val="20"/>
              </w:rPr>
              <w:t>79.</w:t>
            </w:r>
          </w:p>
        </w:tc>
        <w:tc>
          <w:tcPr>
            <w:tcW w:w="9949" w:type="dxa"/>
            <w:tcBorders/>
            <w:vAlign w:val="center"/>
          </w:tcPr>
          <w:p>
            <w:pPr>
              <w:pStyle w:val="TableContents"/>
              <w:bidi w:val="0"/>
              <w:spacing w:before="0" w:after="283"/>
              <w:jc w:val="both"/>
              <w:rPr>
                <w:sz w:val="20"/>
              </w:rPr>
            </w:pPr>
            <w:r>
              <w:rPr>
                <w:sz w:val="20"/>
              </w:rPr>
              <w:t>For all purposes the quorum for a general meeting shall be two Shareholders present in person (or, in the case of a Shareholder being a corporation, by its duly authorised representative) or by proxy and entitled to vote. No business shall be transacted at any general meeting unless the requisite quorum shall be present at the time when the meeting proceeds to business and continues to be present until the conclusion of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sz w:val="20"/>
              </w:rPr>
            </w:pPr>
            <w:r>
              <w:rPr>
                <w:sz w:val="20"/>
              </w:rPr>
              <w:t>80.</w:t>
            </w:r>
          </w:p>
        </w:tc>
        <w:tc>
          <w:tcPr>
            <w:tcW w:w="9954" w:type="dxa"/>
            <w:tcBorders/>
            <w:vAlign w:val="center"/>
          </w:tcPr>
          <w:p>
            <w:pPr>
              <w:pStyle w:val="TableContents"/>
              <w:bidi w:val="0"/>
              <w:spacing w:before="0" w:after="283"/>
              <w:jc w:val="both"/>
              <w:rPr>
                <w:sz w:val="20"/>
              </w:rPr>
            </w:pPr>
            <w:r>
              <w:rPr>
                <w:sz w:val="20"/>
              </w:rPr>
              <w:t>If within 15 minutes from the time appointed for the meeting a quorum is not present, the meeting, if convened upon the requisition of Shareholders, shall be dissolved, but in any other case it shall stand adjourned to the same day in the next week and at such time and place (where applicable) as shall be decided by the Board, and if at such adjourned meeting a quorum is not present within 15 minutes from the time appointed for holding the meeting, the Shareholder or the Shareholders present in person (or, in the case of a Shareholder being a corporation by its duly authorised representative) or by proxy and entitled to vote shall be a quorum and may transact the business for which the meeting was called.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sz w:val="20"/>
              </w:rPr>
            </w:pPr>
            <w:r>
              <w:rPr>
                <w:sz w:val="20"/>
              </w:rPr>
              <w:t>81.</w:t>
            </w:r>
          </w:p>
        </w:tc>
        <w:tc>
          <w:tcPr>
            <w:tcW w:w="9954" w:type="dxa"/>
            <w:tcBorders/>
            <w:vAlign w:val="center"/>
          </w:tcPr>
          <w:p>
            <w:pPr>
              <w:pStyle w:val="TableContents"/>
              <w:bidi w:val="0"/>
              <w:spacing w:before="0" w:after="283"/>
              <w:jc w:val="both"/>
              <w:rPr>
                <w:sz w:val="20"/>
              </w:rPr>
            </w:pPr>
            <w:r>
              <w:rPr>
                <w:sz w:val="20"/>
              </w:rPr>
              <w:t>The chairman (if any) of the Company or if he is absent or declines to take the chair at such meeting, the vice chairman (if any) of the Company shall take the chair at every general meeting, or, if there be no such chairman or vice chairman, or, if at any general meeting neither of such chairman or vice chairman is present within 15 minutes after the time appointed for holding such meeting, or both such persons decline to take the chair at such meeting, the Directors present shall choose one of their number as chairman of the meeting, and if no Director be present or if all the Directors present decline to take the chair or if the chairman chosen shall retire from the chair, then the Shareholders present shall choose one of their number to be chairman of the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both"/>
              <w:rPr>
                <w:sz w:val="20"/>
              </w:rPr>
            </w:pPr>
            <w:r>
              <w:rPr>
                <w:sz w:val="20"/>
              </w:rPr>
              <w:t>82.</w:t>
            </w:r>
          </w:p>
        </w:tc>
        <w:tc>
          <w:tcPr>
            <w:tcW w:w="9936" w:type="dxa"/>
            <w:tcBorders/>
            <w:vAlign w:val="center"/>
          </w:tcPr>
          <w:p>
            <w:pPr>
              <w:pStyle w:val="TableContents"/>
              <w:bidi w:val="0"/>
              <w:spacing w:before="0" w:after="283"/>
              <w:jc w:val="both"/>
              <w:rPr>
                <w:sz w:val="20"/>
              </w:rPr>
            </w:pPr>
            <w:r>
              <w:rPr>
                <w:sz w:val="20"/>
              </w:rPr>
              <w:t>The chairman of a general meeting (be it a physical meeting, a hybrid meeting or an electronic meeting) may attend, preside as chair at, and conduct proceedings of, such meeting by means of electronic facilities.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sz w:val="20"/>
              </w:rPr>
            </w:pPr>
            <w:r>
              <w:rPr>
                <w:sz w:val="20"/>
              </w:rPr>
              <w:t>83.</w:t>
            </w:r>
          </w:p>
        </w:tc>
        <w:tc>
          <w:tcPr>
            <w:tcW w:w="9956" w:type="dxa"/>
            <w:tcBorders/>
            <w:vAlign w:val="center"/>
          </w:tcPr>
          <w:p>
            <w:pPr>
              <w:pStyle w:val="TableContents"/>
              <w:bidi w:val="0"/>
              <w:spacing w:before="0" w:after="283"/>
              <w:jc w:val="both"/>
              <w:rPr>
                <w:sz w:val="20"/>
              </w:rPr>
            </w:pPr>
            <w:r>
              <w:rPr>
                <w:sz w:val="20"/>
              </w:rPr>
              <w:t>Subject to Article 70, the chairman of the meeting may, with the consent of any general meeting at which a quorum is present, and shall, if so directed by the meeting, adjourn any meeting from time to time (or indefinitely) and from place to place and from one form to another (such as a physical meeting, a hybrid meeting or an electronic meeting) as the meeting shall determine. Whenever a meeting is adjourned for 14 days or more, at least seven clear days’ notice, specifying the details set out in Article 76 shall be given in the same manner as in the case of an original meeting but it shall not be necessary to specify in such notice the nature of the business to be transacted at the adjourned meeting. Save as aforesaid, no notice of an adjournment or of the business to be transacted at any adjourned meeting needs to be given nor shall any Shareholder be entitled to any such notice. No business shall be transacted at an adjourned meeting other than the business which might have been transacted at the meeting from which the adjournment took place.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sz w:val="20"/>
              </w:rPr>
            </w:pPr>
            <w:r>
              <w:rPr>
                <w:sz w:val="20"/>
              </w:rPr>
              <w:t>84.</w:t>
            </w:r>
          </w:p>
        </w:tc>
        <w:tc>
          <w:tcPr>
            <w:tcW w:w="9945" w:type="dxa"/>
            <w:tcBorders/>
            <w:vAlign w:val="center"/>
          </w:tcPr>
          <w:p>
            <w:pPr>
              <w:pStyle w:val="TableContents"/>
              <w:bidi w:val="0"/>
              <w:spacing w:before="0" w:after="283"/>
              <w:jc w:val="both"/>
              <w:rPr>
                <w:sz w:val="20"/>
              </w:rPr>
            </w:pPr>
            <w:r>
              <w:rPr>
                <w:sz w:val="20"/>
              </w:rPr>
              <w:t>At any general meeting a resolution put to the vote of the meeting shall be decided by poll save that the chairman of the meeting may, pursuant to the Listing Rules, allow a resolution to be voted by a show of hands. Where a show of hands is allowed, before or on the declaration of the result of the show of hands, a poll may be demanded by: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both"/>
              <w:rPr>
                <w:sz w:val="20"/>
              </w:rPr>
            </w:pPr>
            <w:r>
              <w:rPr>
                <w:sz w:val="20"/>
              </w:rPr>
              <w:t>(a)</w:t>
            </w:r>
          </w:p>
        </w:tc>
        <w:tc>
          <w:tcPr>
            <w:tcW w:w="9925" w:type="dxa"/>
            <w:tcBorders/>
            <w:vAlign w:val="center"/>
          </w:tcPr>
          <w:p>
            <w:pPr>
              <w:pStyle w:val="TableContents"/>
              <w:bidi w:val="0"/>
              <w:spacing w:before="0" w:after="283"/>
              <w:jc w:val="both"/>
              <w:rPr>
                <w:sz w:val="20"/>
              </w:rPr>
            </w:pPr>
            <w:r>
              <w:rPr>
                <w:sz w:val="20"/>
              </w:rPr>
              <w:t>at least two Shareholders present in person (or, in the case of a Shareholder being a corporation, by its duly authorised representative) or by proxy for the time being entitled to vote at the meeting;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sz w:val="20"/>
              </w:rPr>
            </w:pPr>
            <w:r>
              <w:rPr>
                <w:sz w:val="20"/>
              </w:rPr>
              <w:t>(b)</w:t>
            </w:r>
          </w:p>
        </w:tc>
        <w:tc>
          <w:tcPr>
            <w:tcW w:w="9924" w:type="dxa"/>
            <w:tcBorders/>
            <w:vAlign w:val="center"/>
          </w:tcPr>
          <w:p>
            <w:pPr>
              <w:pStyle w:val="TableContents"/>
              <w:bidi w:val="0"/>
              <w:spacing w:before="0" w:after="283"/>
              <w:jc w:val="both"/>
              <w:rPr>
                <w:sz w:val="20"/>
              </w:rPr>
            </w:pPr>
            <w:r>
              <w:rPr>
                <w:sz w:val="20"/>
              </w:rPr>
              <w:t>any Shareholder or Shareholders present in person (or, in the case of a Shareholder being a corporation, by its duly authorised representative) or by proxy and representing not less than one-tenth of the total voting rights, on a one vote per Share basis, of all the Shareholders having the right to vote at the meeting;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both"/>
              <w:rPr>
                <w:sz w:val="20"/>
              </w:rPr>
            </w:pPr>
            <w:r>
              <w:rPr>
                <w:sz w:val="20"/>
              </w:rPr>
              <w:t>(c)</w:t>
            </w:r>
          </w:p>
        </w:tc>
        <w:tc>
          <w:tcPr>
            <w:tcW w:w="9942" w:type="dxa"/>
            <w:tcBorders/>
            <w:vAlign w:val="center"/>
          </w:tcPr>
          <w:p>
            <w:pPr>
              <w:pStyle w:val="TableContents"/>
              <w:bidi w:val="0"/>
              <w:spacing w:before="0" w:after="283"/>
              <w:jc w:val="both"/>
              <w:rPr>
                <w:sz w:val="20"/>
              </w:rPr>
            </w:pPr>
            <w:r>
              <w:rPr>
                <w:sz w:val="20"/>
              </w:rPr>
              <w:t>any Shareholder or Shareholders present in person (or, in the case of a Shareholder being a corporation, by its duly authorised representative) or by proxy and holding Shares conferring a right to vote at the meeting being Shares on which an aggregate sum has been paid up equal to not less than one-tenth of the total sum paid up on all the Shares conferring that right.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sz w:val="20"/>
              </w:rPr>
            </w:pPr>
            <w:r>
              <w:rPr>
                <w:sz w:val="20"/>
              </w:rPr>
              <w:t>85.</w:t>
            </w:r>
          </w:p>
        </w:tc>
        <w:tc>
          <w:tcPr>
            <w:tcW w:w="9950" w:type="dxa"/>
            <w:tcBorders/>
            <w:vAlign w:val="center"/>
          </w:tcPr>
          <w:p>
            <w:pPr>
              <w:pStyle w:val="TableContents"/>
              <w:bidi w:val="0"/>
              <w:spacing w:before="0" w:after="283"/>
              <w:jc w:val="both"/>
              <w:rPr>
                <w:sz w:val="20"/>
              </w:rPr>
            </w:pPr>
            <w:r>
              <w:rPr>
                <w:sz w:val="20"/>
              </w:rPr>
              <w:t>Where a resolution is voted on by a show of hands, a declaration by the chairman of the meeting that a resolution has on a show of hands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in favour of or against such resolution.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sz w:val="20"/>
              </w:rPr>
            </w:pPr>
            <w:r>
              <w:rPr>
                <w:sz w:val="20"/>
              </w:rPr>
              <w:t>86.</w:t>
            </w:r>
          </w:p>
        </w:tc>
        <w:tc>
          <w:tcPr>
            <w:tcW w:w="9953" w:type="dxa"/>
            <w:tcBorders/>
            <w:vAlign w:val="center"/>
          </w:tcPr>
          <w:p>
            <w:pPr>
              <w:pStyle w:val="TableContents"/>
              <w:bidi w:val="0"/>
              <w:spacing w:before="0" w:after="283"/>
              <w:jc w:val="both"/>
              <w:rPr>
                <w:sz w:val="20"/>
              </w:rPr>
            </w:pPr>
            <w:r>
              <w:rPr>
                <w:sz w:val="20"/>
              </w:rPr>
              <w:t>A poll shall be taken in such manner (including the use of ballot or voting papers or tickets or other electronic means) and at such time and place as the chairman of the meeting directs. No notice need be given of a poll not taken immediately. The result of the poll shall be deemed to be the resolution of the meeting at which the poll was required or demanded. In the event that a poll is demanded after the chairman of the meeting allows a show of hands pursuant to Article 84, the demand for a poll may be withdrawn, with the consent of the chairman of the meeting, at any time before the close of the meeting at which the poll was demanded or the taking of the poll, whichever is the earlier.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both"/>
              <w:rPr>
                <w:sz w:val="20"/>
              </w:rPr>
            </w:pPr>
            <w:r>
              <w:rPr>
                <w:sz w:val="20"/>
              </w:rPr>
              <w:t>87.</w:t>
            </w:r>
          </w:p>
        </w:tc>
        <w:tc>
          <w:tcPr>
            <w:tcW w:w="9923" w:type="dxa"/>
            <w:tcBorders/>
            <w:vAlign w:val="center"/>
          </w:tcPr>
          <w:p>
            <w:pPr>
              <w:pStyle w:val="TableContents"/>
              <w:bidi w:val="0"/>
              <w:spacing w:before="0" w:after="283"/>
              <w:jc w:val="both"/>
              <w:rPr>
                <w:sz w:val="20"/>
              </w:rPr>
            </w:pPr>
            <w:r>
              <w:rPr>
                <w:sz w:val="20"/>
              </w:rPr>
              <w:t>Any poll on the election of a chairman of a meeting or on any question of adjournment shall be taken at the meeting and without adjournment.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sz w:val="20"/>
              </w:rPr>
            </w:pPr>
            <w:r>
              <w:rPr>
                <w:sz w:val="20"/>
              </w:rPr>
              <w:t>88.</w:t>
            </w:r>
          </w:p>
        </w:tc>
        <w:tc>
          <w:tcPr>
            <w:tcW w:w="9945" w:type="dxa"/>
            <w:tcBorders/>
            <w:vAlign w:val="center"/>
          </w:tcPr>
          <w:p>
            <w:pPr>
              <w:pStyle w:val="TableContents"/>
              <w:bidi w:val="0"/>
              <w:spacing w:before="0" w:after="283"/>
              <w:jc w:val="both"/>
              <w:rPr>
                <w:sz w:val="20"/>
              </w:rPr>
            </w:pPr>
            <w:r>
              <w:rPr>
                <w:sz w:val="20"/>
              </w:rPr>
              <w:t>In the case of an equality of votes, whether on a show of hands or on a poll, the chairman of the meeting shall be entitled to a second or casting vote. In case of any dispute as to the admission or rejection of any vote, the chairman of the meeting shall determine the same, and such determination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both"/>
              <w:rPr>
                <w:sz w:val="20"/>
              </w:rPr>
            </w:pPr>
            <w:r>
              <w:rPr>
                <w:sz w:val="20"/>
              </w:rPr>
              <w:t>89.</w:t>
            </w:r>
          </w:p>
        </w:tc>
        <w:tc>
          <w:tcPr>
            <w:tcW w:w="9928" w:type="dxa"/>
            <w:tcBorders/>
            <w:vAlign w:val="center"/>
          </w:tcPr>
          <w:p>
            <w:pPr>
              <w:pStyle w:val="TableContents"/>
              <w:bidi w:val="0"/>
              <w:spacing w:before="0" w:after="283"/>
              <w:jc w:val="both"/>
              <w:rPr>
                <w:sz w:val="20"/>
              </w:rPr>
            </w:pPr>
            <w:r>
              <w:rPr>
                <w:sz w:val="20"/>
              </w:rPr>
              <w:t>The demand for a poll shall not prevent the continuance of a meeting for the transaction of any business other than the question on which a poll has been demanded.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both"/>
              <w:rPr>
                <w:sz w:val="20"/>
              </w:rPr>
            </w:pPr>
            <w:r>
              <w:rPr>
                <w:sz w:val="20"/>
              </w:rPr>
              <w:t>90.</w:t>
            </w:r>
          </w:p>
        </w:tc>
        <w:tc>
          <w:tcPr>
            <w:tcW w:w="9948" w:type="dxa"/>
            <w:tcBorders/>
            <w:vAlign w:val="center"/>
          </w:tcPr>
          <w:p>
            <w:pPr>
              <w:pStyle w:val="TableContents"/>
              <w:bidi w:val="0"/>
              <w:spacing w:before="0" w:after="283"/>
              <w:jc w:val="both"/>
              <w:rPr>
                <w:sz w:val="20"/>
              </w:rPr>
            </w:pPr>
            <w:r>
              <w:rPr>
                <w:sz w:val="20"/>
              </w:rPr>
              <w:t>If an amendment shall be proposed to any resolution under consideration but shall in good faith be ruled out of order by the chairman of the meeting, the proceedings shall not be invalidated by any error in such ruling. In the case of a resolution duly proposed as a Special Resolution no amendment thereto (other than a mere clerical amendment to correct a patent error) may in any event be considered or voted upon.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OF SHAREHOLDERS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sz w:val="20"/>
              </w:rPr>
            </w:pPr>
            <w:r>
              <w:rPr>
                <w:sz w:val="20"/>
              </w:rPr>
              <w:t>91.</w:t>
            </w:r>
          </w:p>
        </w:tc>
        <w:tc>
          <w:tcPr>
            <w:tcW w:w="9957" w:type="dxa"/>
            <w:tcBorders/>
            <w:vAlign w:val="center"/>
          </w:tcPr>
          <w:p>
            <w:pPr>
              <w:pStyle w:val="TableContents"/>
              <w:bidi w:val="0"/>
              <w:spacing w:before="0" w:after="283"/>
              <w:jc w:val="both"/>
              <w:rPr>
                <w:sz w:val="20"/>
              </w:rPr>
            </w:pPr>
            <w:r>
              <w:rPr>
                <w:sz w:val="20"/>
              </w:rPr>
              <w:t>Subject to any special rights, privileges or restrictions as to voting for the time being attached to any class or classes of Shares, at any general meeting on a poll every Shareholder present in person (or, in the case of a Shareholder being a corporation, by its duly authorised representative) or by proxy, shall have one vote for every Share of which he is the holder which is fully paid or credited as fully paid (but so that no amount paid or credited as paid on a Share in advance of calls or instalments shall be treated for the purposes of this Article as paid on the Share), and on a show of hands every Shareholder who is present in person (or, in the case of a Shareholder being a corporation, by its duly authorised representative) or by proxy shall (save as provided otherwise in this Article) have one vote. On a poll a Shareholder entitled to more than one vote need not use all his votes or cast all his votes in the same way. Notwithstanding anything contained in these Articles, where more than one proxy is appointed by a Shareholder which is a Clearing House (or its nominee(s)), each such proxy shall have one vote on a show of hands and on a poll, each such proxy is under no obligation to cast all his votes in the same way.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283"/>
              <w:jc w:val="both"/>
              <w:rPr>
                <w:sz w:val="20"/>
              </w:rPr>
            </w:pPr>
            <w:r>
              <w:rPr>
                <w:sz w:val="20"/>
              </w:rPr>
              <w:t>91A.</w:t>
            </w:r>
          </w:p>
        </w:tc>
        <w:tc>
          <w:tcPr>
            <w:tcW w:w="9780" w:type="dxa"/>
            <w:tcBorders/>
            <w:vAlign w:val="center"/>
          </w:tcPr>
          <w:p>
            <w:pPr>
              <w:pStyle w:val="TableContents"/>
              <w:bidi w:val="0"/>
              <w:spacing w:before="0" w:after="283"/>
              <w:jc w:val="both"/>
              <w:rPr>
                <w:sz w:val="20"/>
              </w:rPr>
            </w:pPr>
            <w:r>
              <w:rPr>
                <w:sz w:val="20"/>
              </w:rPr>
              <w:t>Shareholders must have the right to: (a) speak at general meetings of the Company; and (b) vote at a general meeting except where a Shareholder is required, by the Listing Rules, to abstain from voting to approve the matter under consideration.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780"/>
      </w:tblGrid>
      <w:tr>
        <w:trPr/>
        <w:tc>
          <w:tcPr>
            <w:tcW w:w="425" w:type="dxa"/>
            <w:tcBorders/>
            <w:vAlign w:val="center"/>
          </w:tcPr>
          <w:p>
            <w:pPr>
              <w:pStyle w:val="TableContents"/>
              <w:bidi w:val="0"/>
              <w:spacing w:before="0" w:after="283"/>
              <w:jc w:val="both"/>
              <w:rPr>
                <w:sz w:val="20"/>
              </w:rPr>
            </w:pPr>
            <w:r>
              <w:rPr>
                <w:sz w:val="20"/>
              </w:rPr>
              <w:t>91B.</w:t>
            </w:r>
          </w:p>
        </w:tc>
        <w:tc>
          <w:tcPr>
            <w:tcW w:w="9780" w:type="dxa"/>
            <w:tcBorders/>
            <w:vAlign w:val="center"/>
          </w:tcPr>
          <w:p>
            <w:pPr>
              <w:pStyle w:val="TableContents"/>
              <w:bidi w:val="0"/>
              <w:spacing w:before="0" w:after="283"/>
              <w:jc w:val="both"/>
              <w:rPr>
                <w:sz w:val="20"/>
              </w:rPr>
            </w:pPr>
            <w:r>
              <w:rPr>
                <w:sz w:val="20"/>
              </w:rPr>
              <w:t>Where the Company has knowledge that any Shareholder is, under the Listing Rules, required to abstain from voting on any particular resolution or restricted to voting only for or only against any particular resolution, any votes cast by or on behalf of such Shareholder in contravention of such requirement or restriction shall not be counted.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sz w:val="20"/>
              </w:rPr>
            </w:pPr>
            <w:r>
              <w:rPr>
                <w:sz w:val="20"/>
              </w:rPr>
              <w:t>92.</w:t>
            </w:r>
          </w:p>
        </w:tc>
        <w:tc>
          <w:tcPr>
            <w:tcW w:w="9951" w:type="dxa"/>
            <w:tcBorders/>
            <w:vAlign w:val="center"/>
          </w:tcPr>
          <w:p>
            <w:pPr>
              <w:pStyle w:val="TableContents"/>
              <w:bidi w:val="0"/>
              <w:spacing w:before="0" w:after="283"/>
              <w:jc w:val="both"/>
              <w:rPr>
                <w:sz w:val="20"/>
              </w:rPr>
            </w:pPr>
            <w:r>
              <w:rPr>
                <w:sz w:val="20"/>
              </w:rPr>
              <w:t>Any person entitled under Article 51 to be registered as the holder of any Shares may vote at any general meeting in respect thereof in the same manner as if he were the registered holder of such Shares, provided that at least 48 hours before the time of the holding of the meeting or adjourned meeting (as the case may be) at which he proposes to vote, he shall satisfy the Board of his right to be registered as the holder of such Shares or the Board shall have previously admitted his right to vote at such meeting in respect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sz w:val="20"/>
              </w:rPr>
            </w:pPr>
            <w:r>
              <w:rPr>
                <w:sz w:val="20"/>
              </w:rPr>
              <w:t>93.</w:t>
            </w:r>
          </w:p>
        </w:tc>
        <w:tc>
          <w:tcPr>
            <w:tcW w:w="9953" w:type="dxa"/>
            <w:tcBorders/>
            <w:vAlign w:val="center"/>
          </w:tcPr>
          <w:p>
            <w:pPr>
              <w:pStyle w:val="TableContents"/>
              <w:bidi w:val="0"/>
              <w:spacing w:before="0" w:after="283"/>
              <w:jc w:val="both"/>
              <w:rPr>
                <w:sz w:val="20"/>
              </w:rPr>
            </w:pPr>
            <w:r>
              <w:rPr>
                <w:sz w:val="20"/>
              </w:rPr>
              <w:t>Where there are joint registered holders of any Share, any one of such persons may vote at any meeting, either personally or by proxy, in respect of such Share as if he were solely entitled thereto; but if more than one of such joint holders be present at any meeting personally or by proxy, that one of the said persons so present whose name stands first on the Register in respect of such Share shall alone be entitled to vote in respect thereof. Several executors or administrators of a deceased Shareholder, and several trustees in bankruptcy or liquidators of a Shareholder in whose name any Share stands shall for the purposes of this Article be deemed joint holders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sz w:val="20"/>
              </w:rPr>
            </w:pPr>
            <w:r>
              <w:rPr>
                <w:sz w:val="20"/>
              </w:rPr>
              <w:t>94.</w:t>
            </w:r>
          </w:p>
        </w:tc>
        <w:tc>
          <w:tcPr>
            <w:tcW w:w="9954" w:type="dxa"/>
            <w:tcBorders/>
            <w:vAlign w:val="center"/>
          </w:tcPr>
          <w:p>
            <w:pPr>
              <w:pStyle w:val="TableContents"/>
              <w:bidi w:val="0"/>
              <w:spacing w:before="0" w:after="283"/>
              <w:jc w:val="both"/>
              <w:rPr>
                <w:sz w:val="20"/>
              </w:rPr>
            </w:pPr>
            <w:r>
              <w:rPr>
                <w:sz w:val="20"/>
              </w:rPr>
              <w:t>A Shareholder of unsound mind or in respect of whom an order has been made by any court having jurisdiction in lunacy may vote, whether on a poll or on a show of hands, by his committee or receiver, or other person in the nature of a committee or receiver appointed by that court, and any such committee, receiver or other person may vote on a poll by proxy. Evidence to the satisfaction of the Board of the authority of the person claiming to exercise the right to vote shall be delivered to such place or one of such places (if any) as is specified in accordance with these Articles for the deposit of instruments of proxy or, if no place is specified, at the Registration Office, not later than the latest time at which an instrument of proxy must, if it is to be valid for the meeting, be delivered.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sz w:val="20"/>
              </w:rPr>
            </w:pPr>
            <w:r>
              <w:rPr>
                <w:sz w:val="20"/>
              </w:rPr>
              <w:t>95.</w:t>
            </w:r>
          </w:p>
        </w:tc>
        <w:tc>
          <w:tcPr>
            <w:tcW w:w="9950" w:type="dxa"/>
            <w:tcBorders/>
            <w:vAlign w:val="center"/>
          </w:tcPr>
          <w:p>
            <w:pPr>
              <w:pStyle w:val="TableContents"/>
              <w:bidi w:val="0"/>
              <w:spacing w:before="0" w:after="283"/>
              <w:jc w:val="both"/>
              <w:rPr>
                <w:sz w:val="20"/>
              </w:rPr>
            </w:pPr>
            <w:r>
              <w:rPr>
                <w:sz w:val="20"/>
              </w:rPr>
              <w:t>Save as expressly provided in these Articles or otherwise determined by the Board, no person other than a Shareholder duly registered and who shall have paid everything for the time being due from him payable to the Company in respect of his Shares shall be entitled to be present or to vote (save as proxy or authorised representative for another Shareholder) whether personally, by proxy or by attorney or to be reckoned in the quorum, at any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sz w:val="20"/>
              </w:rPr>
            </w:pPr>
            <w:r>
              <w:rPr>
                <w:sz w:val="20"/>
              </w:rPr>
              <w:t>96.</w:t>
            </w:r>
          </w:p>
        </w:tc>
        <w:tc>
          <w:tcPr>
            <w:tcW w:w="9949" w:type="dxa"/>
            <w:tcBorders/>
            <w:vAlign w:val="center"/>
          </w:tcPr>
          <w:p>
            <w:pPr>
              <w:pStyle w:val="TableContents"/>
              <w:bidi w:val="0"/>
              <w:spacing w:before="0" w:after="283"/>
              <w:jc w:val="both"/>
              <w:rPr>
                <w:sz w:val="20"/>
              </w:rPr>
            </w:pPr>
            <w:r>
              <w:rPr>
                <w:sz w:val="20"/>
              </w:rPr>
              <w:t>No objection shall be raised to the qualification of any person exercising or purporting to exercise a vote or the admissibility of any vote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PROXY AND CORPORATE REPRESENTATIVE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97.</w:t>
            </w:r>
          </w:p>
        </w:tc>
        <w:tc>
          <w:tcPr>
            <w:tcW w:w="9955" w:type="dxa"/>
            <w:tcBorders/>
            <w:vAlign w:val="center"/>
          </w:tcPr>
          <w:p>
            <w:pPr>
              <w:pStyle w:val="TableContents"/>
              <w:bidi w:val="0"/>
              <w:spacing w:before="0" w:after="283"/>
              <w:jc w:val="both"/>
              <w:rPr>
                <w:sz w:val="20"/>
              </w:rPr>
            </w:pPr>
            <w:r>
              <w:rPr>
                <w:sz w:val="20"/>
              </w:rPr>
              <w:t>Any Shareholder entitled to attend and vote at a meeting of the Company shall be entitled to appoint another person as his proxy to attend and vote instead of him. A Shareholder who is the holder of two or more Shares may appoint more than one proxy to represent him and vote on his behalf at a general meeting of the Company or at a class meeting. A proxy need not be a Shareholder of the Company. On a poll or a show of hands votes may be given either personally (or, in the case of a Shareholder being a corporation, by its duly authorised representative) or by proxy. A proxy shall be entitled to exercise the same powers on behalf of a Shareholder who is an individual and for whom he acts as proxy as such Shareholder could exercise. In addition, a proxy shall be entitled to exercise the same powers on behalf of a Shareholder which is a corporation and for which he acts as proxy as such Shareholder could exercise if it were an individual Shareholder.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98.</w:t>
            </w:r>
          </w:p>
        </w:tc>
        <w:tc>
          <w:tcPr>
            <w:tcW w:w="9955" w:type="dxa"/>
            <w:tcBorders/>
            <w:vAlign w:val="center"/>
          </w:tcPr>
          <w:p>
            <w:pPr>
              <w:pStyle w:val="TableContents"/>
              <w:bidi w:val="0"/>
              <w:spacing w:before="0" w:after="283"/>
              <w:jc w:val="both"/>
              <w:rPr>
                <w:sz w:val="20"/>
              </w:rPr>
            </w:pPr>
            <w:r>
              <w:rPr>
                <w:sz w:val="20"/>
              </w:rPr>
              <w:t>No appointment of a proxy shall be valid unless it names the person appointed and his appointor. The Board may, unless it is satisfied that the person purporting to act as proxy is the person named in the relevant instrument for his appointment and the validity and authenticity of the signature of his appointor, decline such person’s admission to the relevant meeting, reject his vote or, in the event that a poll is demanded after the chairman of the meeting allows a show of hands pursuant to Article 84, his demand for a poll and no Shareholder who may be affected by any exercise by the Board of its power in this connection shall have any claim against the Directors or any of them nor may any such exercise by the Board of its powers invalidate the proceedings of the meeting in respect of which they were exercised or any resolution passed or defeated at such meeting.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both"/>
              <w:rPr>
                <w:sz w:val="20"/>
              </w:rPr>
            </w:pPr>
            <w:r>
              <w:rPr>
                <w:sz w:val="20"/>
              </w:rPr>
              <w:t>99.</w:t>
            </w:r>
          </w:p>
        </w:tc>
        <w:tc>
          <w:tcPr>
            <w:tcW w:w="9939" w:type="dxa"/>
            <w:tcBorders/>
            <w:vAlign w:val="center"/>
          </w:tcPr>
          <w:p>
            <w:pPr>
              <w:pStyle w:val="TableContents"/>
              <w:bidi w:val="0"/>
              <w:spacing w:before="0" w:after="283"/>
              <w:jc w:val="both"/>
              <w:rPr>
                <w:sz w:val="20"/>
              </w:rPr>
            </w:pPr>
            <w:r>
              <w:rPr>
                <w:sz w:val="20"/>
              </w:rPr>
              <w:t>The instrument appointing a proxy shall be in writing under the hand of the appointor or of his attorney duly authorised in writing, or if the appointor is a corporation, either under seal or under the hand of an officer or attorney duly authorised.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173"/>
        <w:gridCol w:w="9680"/>
      </w:tblGrid>
      <w:tr>
        <w:trPr/>
        <w:tc>
          <w:tcPr>
            <w:tcW w:w="352" w:type="dxa"/>
            <w:tcBorders/>
            <w:vAlign w:val="center"/>
          </w:tcPr>
          <w:p>
            <w:pPr>
              <w:pStyle w:val="TableContents"/>
              <w:bidi w:val="0"/>
              <w:spacing w:before="0" w:after="283"/>
              <w:jc w:val="both"/>
              <w:rPr>
                <w:sz w:val="20"/>
              </w:rPr>
            </w:pPr>
            <w:r>
              <w:rPr>
                <w:sz w:val="20"/>
              </w:rPr>
              <w:t>100.</w:t>
            </w:r>
          </w:p>
        </w:tc>
        <w:tc>
          <w:tcPr>
            <w:tcW w:w="173" w:type="dxa"/>
            <w:tcBorders/>
            <w:vAlign w:val="center"/>
          </w:tcPr>
          <w:p>
            <w:pPr>
              <w:pStyle w:val="TableContents"/>
              <w:bidi w:val="0"/>
              <w:spacing w:before="0" w:after="283"/>
              <w:jc w:val="both"/>
              <w:rPr>
                <w:sz w:val="20"/>
              </w:rPr>
            </w:pPr>
            <w:r>
              <w:rPr>
                <w:sz w:val="20"/>
              </w:rPr>
              <w:t>(a)</w:t>
            </w:r>
          </w:p>
        </w:tc>
        <w:tc>
          <w:tcPr>
            <w:tcW w:w="9680" w:type="dxa"/>
            <w:tcBorders/>
            <w:vAlign w:val="center"/>
          </w:tcPr>
          <w:p>
            <w:pPr>
              <w:pStyle w:val="TableContents"/>
              <w:bidi w:val="0"/>
              <w:spacing w:before="0" w:after="283"/>
              <w:jc w:val="both"/>
              <w:rPr>
                <w:sz w:val="20"/>
              </w:rPr>
            </w:pPr>
            <w:r>
              <w:rPr>
                <w:sz w:val="20"/>
              </w:rPr>
              <w:t>The Company may, at its absolute discretion, provide an electronic address for the receipt of any document or information relating to proxies for a general meeting (including any instrument of proxy or invitation to appoint a proxy, any document necessary to show the validity of, or otherwise relating to, an appointment of proxy (whether or not required under these Articles) and notice of termination of the authority of a proxy). If such an electronic address is provided, the Company shall be deemed to have agreed that any such document or information (relating to proxies as aforesaid) may be sent by electronic means to that address, subject as hereafter provided and subject to any other limitations or conditions specified by the Company when providing the address.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referred to in this Article is sent to the Company by electronic means, such document or information is not treated as validly delivered to or deposited with the Company if the same is not received by the Company at its designated electronic address provided in accordance with this Article or if no electronic address is so designated by the Company for the receipt of such document or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(b)</w:t>
            </w:r>
          </w:p>
        </w:tc>
        <w:tc>
          <w:tcPr>
            <w:tcW w:w="9940" w:type="dxa"/>
            <w:tcBorders/>
            <w:vAlign w:val="center"/>
          </w:tcPr>
          <w:p>
            <w:pPr>
              <w:pStyle w:val="TableContents"/>
              <w:bidi w:val="0"/>
              <w:spacing w:before="0" w:after="283"/>
              <w:jc w:val="both"/>
              <w:rPr>
                <w:sz w:val="20"/>
              </w:rPr>
            </w:pPr>
            <w:r>
              <w:rPr>
                <w:sz w:val="20"/>
              </w:rPr>
              <w:t>The instrument appointing a proxy and, if requested by the Board, the power of attorney or other authority (if any) under which it is signed or a notarially certified copy of that power or authority shall be deposited at such place or one of such places (if any) as is specified in the notice of meeting or in the instrument of proxy issued by the Company (or, if no place is specified, at the Registration Office) not less than 48 hours before the time for holding the meeting or adjourned meeting (as the case may be) at which the person named in such instrument proposes to vote, and in default the instrument of proxy shall not be treated as valid. No instrument appointing a proxy shall be valid after the expiration of 12 Months from the date of its execution, except at an adjourned meeting where the meeting was originally held within 12 Months from such date. Delivery of an instrument appointing a proxy shall not preclude a Shareholder from attending and voting in person (or in the case of a Shareholder being a corporation, its duly authorised representative) at the meeting concerned and, in such event, the instrument appointing a proxy shall be deemed to be revoked.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sz w:val="20"/>
              </w:rPr>
            </w:pPr>
            <w:r>
              <w:rPr>
                <w:sz w:val="20"/>
              </w:rPr>
              <w:t>101.</w:t>
            </w:r>
          </w:p>
        </w:tc>
        <w:tc>
          <w:tcPr>
            <w:tcW w:w="9848" w:type="dxa"/>
            <w:tcBorders/>
            <w:vAlign w:val="center"/>
          </w:tcPr>
          <w:p>
            <w:pPr>
              <w:pStyle w:val="TableContents"/>
              <w:bidi w:val="0"/>
              <w:spacing w:before="0" w:after="283"/>
              <w:jc w:val="both"/>
              <w:rPr>
                <w:sz w:val="20"/>
              </w:rPr>
            </w:pPr>
            <w:r>
              <w:rPr>
                <w:sz w:val="20"/>
              </w:rPr>
              <w:t>Every instrument of proxy, whether for a specified meeting or otherwise, shall be in such form as the Board may from time to time approve, provided that it shall not preclude the use of the two-way form. Any form issued to a Shareholder for use by him for appointing a proxy to attend and vote at an extraordinary general meeting or at an annual general meeting at which any business is to be transacted shall be such as to enable the Shareholder, according to his intentions, to instruct the proxy to vote in favour of or against (or, in default of instructions, to exercise his discretion in respect of) each resolution dealing with any such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102.</w:t>
            </w:r>
          </w:p>
        </w:tc>
        <w:tc>
          <w:tcPr>
            <w:tcW w:w="9843" w:type="dxa"/>
            <w:tcBorders/>
            <w:vAlign w:val="center"/>
          </w:tcPr>
          <w:p>
            <w:pPr>
              <w:pStyle w:val="TableContents"/>
              <w:bidi w:val="0"/>
              <w:spacing w:before="0" w:after="283"/>
              <w:jc w:val="both"/>
              <w:rPr>
                <w:sz w:val="20"/>
              </w:rPr>
            </w:pPr>
            <w:r>
              <w:rPr>
                <w:sz w:val="20"/>
              </w:rPr>
              <w:t>The instrument appointing a proxy to vote at a general meeting shall: (i) be deemed to confer authority upon the proxy to demand or join in demanding a poll and to vote on any resolution (or amendment thereto) put to the meeting for which it is given as the proxy thinks fit; and (ii) unless the contrary is stated therein, be valid as well for any adjournment of the meeting as for the meeting to which it relates.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103.</w:t>
            </w:r>
          </w:p>
        </w:tc>
        <w:tc>
          <w:tcPr>
            <w:tcW w:w="9849" w:type="dxa"/>
            <w:tcBorders/>
            <w:vAlign w:val="center"/>
          </w:tcPr>
          <w:p>
            <w:pPr>
              <w:pStyle w:val="TableContents"/>
              <w:bidi w:val="0"/>
              <w:spacing w:before="0" w:after="283"/>
              <w:jc w:val="both"/>
              <w:rPr>
                <w:sz w:val="20"/>
              </w:rPr>
            </w:pPr>
            <w:r>
              <w:rPr>
                <w:sz w:val="20"/>
              </w:rPr>
              <w:t>A vote given in accordance with the terms of an instrument of proxy or by the duly authorised representative of a corporation shall be valid notwithstanding the previous death or insanity of the principal or revocation of the proxy or power of attorney or other authority under which the proxy was executed or the transfer of the Share in respect of which the proxy is given, provided that no intimation in writing of such death, insanity, revocation or transfer as aforesaid shall have been received by the Company at its Registration Office, or at such other place as is referred to in Article 100(b), at least two hours before the commencement of the meeting or adjourned meeting at which the proxy is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185"/>
        <w:gridCol w:w="9664"/>
      </w:tblGrid>
      <w:tr>
        <w:trPr/>
        <w:tc>
          <w:tcPr>
            <w:tcW w:w="356" w:type="dxa"/>
            <w:tcBorders/>
            <w:vAlign w:val="center"/>
          </w:tcPr>
          <w:p>
            <w:pPr>
              <w:pStyle w:val="TableContents"/>
              <w:bidi w:val="0"/>
              <w:spacing w:before="0" w:after="283"/>
              <w:jc w:val="left"/>
              <w:rPr>
                <w:sz w:val="20"/>
              </w:rPr>
            </w:pPr>
            <w:r>
              <w:rPr>
                <w:sz w:val="20"/>
              </w:rPr>
              <w:t>104.</w:t>
            </w:r>
          </w:p>
        </w:tc>
        <w:tc>
          <w:tcPr>
            <w:tcW w:w="185" w:type="dxa"/>
            <w:tcBorders/>
            <w:vAlign w:val="center"/>
          </w:tcPr>
          <w:p>
            <w:pPr>
              <w:pStyle w:val="TableContents"/>
              <w:bidi w:val="0"/>
              <w:spacing w:before="0" w:after="283"/>
              <w:jc w:val="both"/>
              <w:rPr>
                <w:sz w:val="20"/>
              </w:rPr>
            </w:pPr>
            <w:r>
              <w:rPr>
                <w:sz w:val="20"/>
              </w:rPr>
              <w:t xml:space="preserve">(a) </w:t>
            </w:r>
          </w:p>
        </w:tc>
        <w:tc>
          <w:tcPr>
            <w:tcW w:w="9664" w:type="dxa"/>
            <w:tcBorders/>
            <w:vAlign w:val="center"/>
          </w:tcPr>
          <w:p>
            <w:pPr>
              <w:pStyle w:val="TableContents"/>
              <w:bidi w:val="0"/>
              <w:spacing w:before="0" w:after="283"/>
              <w:jc w:val="both"/>
              <w:rPr>
                <w:sz w:val="20"/>
              </w:rPr>
            </w:pPr>
            <w:r>
              <w:rPr>
                <w:sz w:val="20"/>
              </w:rPr>
              <w:t>Any corporation which is a Shareholder may, by resolution of its directors or other governing body or by power of attorney, authorise such person as it thinks fit to act as its representative at any meeting of the Company or of any class of Shareholders of the Company, and the person so authorised shall be entitled to exercise the same rights and powers on behalf of the corporation which he represents as that corporation could exercise if it were an individual Shareholder of the Company. References in these Articles to a Shareholder present in person at a meeting shall, unless the context otherwise requires, include a corporation which is a Shareholder represented at the meeting by such duly authorised representative.</w:t>
            </w:r>
          </w:p>
        </w:tc>
      </w:tr>
    </w:tbl>
    <w:p>
      <w:pPr>
        <w:pStyle w:val="TextBody"/>
        <w:bidi w:val="0"/>
        <w:spacing w:before="0" w:after="0"/>
        <w:ind w:left="1276" w:right="0" w:hanging="567"/>
        <w:jc w:val="both"/>
        <w:rPr>
          <w:caps w:val="false"/>
          <w:smallCaps w:val="false"/>
        </w:rPr>
      </w:pPr>
      <w:r>
        <w:rPr>
          <w:caps w:val="false"/>
          <w:smallCaps w:val="false"/>
        </w:rPr>
        <w:t> </w:t>
      </w:r>
    </w:p>
    <w:p>
      <w:pPr>
        <w:pStyle w:val="TextBody"/>
        <w:bidi w:val="0"/>
        <w:spacing w:before="0" w:after="0"/>
        <w:ind w:left="1276"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(b)</w:t>
            </w:r>
          </w:p>
        </w:tc>
        <w:tc>
          <w:tcPr>
            <w:tcW w:w="9938" w:type="dxa"/>
            <w:tcBorders/>
            <w:vAlign w:val="center"/>
          </w:tcPr>
          <w:p>
            <w:pPr>
              <w:pStyle w:val="TableContents"/>
              <w:bidi w:val="0"/>
              <w:spacing w:before="0" w:after="283"/>
              <w:jc w:val="both"/>
              <w:rPr>
                <w:sz w:val="20"/>
              </w:rPr>
            </w:pPr>
            <w:r>
              <w:rPr>
                <w:sz w:val="20"/>
              </w:rPr>
              <w:t>Where a Shareholder is a Clearing House (or its nominee(s)), it may (subject to Article 93) authorise such person or persons as it thinks fit to act as its representative or representatives at any meeting of the Company or at any meeting of any class of Shareholders, or at any meeting of the creditors of the Company provided that if more than one person is so authorised, the authorisation shall specify the number and class of Shares in respect of which each such representative is so authorised. A person so authorised pursuant to the provisions of this Article shall be deemed to have been duly authorised without further evidence of the facts and be entitled to exercise the same rights and powers on behalf of the Clearing House (or its nominee(s)) which he represents as that Clearing House (or its nominee(s)) could exercise as if such person were an individual Shareholder, including the right to speak and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
        <w:gridCol w:w="9814"/>
      </w:tblGrid>
      <w:tr>
        <w:trPr/>
        <w:tc>
          <w:tcPr>
            <w:tcW w:w="391" w:type="dxa"/>
            <w:tcBorders/>
            <w:vAlign w:val="center"/>
          </w:tcPr>
          <w:p>
            <w:pPr>
              <w:pStyle w:val="TableContents"/>
              <w:bidi w:val="0"/>
              <w:spacing w:before="0" w:after="283"/>
              <w:jc w:val="left"/>
              <w:rPr>
                <w:sz w:val="20"/>
              </w:rPr>
            </w:pPr>
            <w:r>
              <w:rPr>
                <w:sz w:val="20"/>
              </w:rPr>
              <w:t>105.</w:t>
            </w:r>
          </w:p>
        </w:tc>
        <w:tc>
          <w:tcPr>
            <w:tcW w:w="9814" w:type="dxa"/>
            <w:tcBorders/>
            <w:vAlign w:val="center"/>
          </w:tcPr>
          <w:p>
            <w:pPr>
              <w:pStyle w:val="TableContents"/>
              <w:bidi w:val="0"/>
              <w:spacing w:before="0" w:after="283"/>
              <w:jc w:val="both"/>
              <w:rPr>
                <w:sz w:val="20"/>
              </w:rPr>
            </w:pPr>
            <w:r>
              <w:rPr>
                <w:sz w:val="20"/>
              </w:rPr>
              <w:t>Unless the Board agrees otherwise, an appointment of a corporate representative shall not be valid as against the Company unless: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20"/>
              </w:rPr>
            </w:pPr>
            <w:r>
              <w:rPr>
                <w:sz w:val="20"/>
              </w:rPr>
              <w:t>(a)</w:t>
            </w:r>
          </w:p>
        </w:tc>
        <w:tc>
          <w:tcPr>
            <w:tcW w:w="9951" w:type="dxa"/>
            <w:tcBorders/>
            <w:vAlign w:val="center"/>
          </w:tcPr>
          <w:p>
            <w:pPr>
              <w:pStyle w:val="TableContents"/>
              <w:bidi w:val="0"/>
              <w:spacing w:before="0" w:after="283"/>
              <w:jc w:val="both"/>
              <w:rPr>
                <w:sz w:val="20"/>
              </w:rPr>
            </w:pPr>
            <w:r>
              <w:rPr>
                <w:sz w:val="20"/>
              </w:rPr>
              <w:t>in the case of such an appointment by a Shareholder which is a Clearing House (or its nominee(s)), a written notification of the appointment issued by any director, the secretary or any authorised officer(s) of such Shareholder shall have been delivered at such place or one of such places (if any) as is specified in the notice of meeting or in the form of notice issued by the Company, or handed to the chairman of the meeting at the meeting or, if no place is specified, at the principal place of business maintained by the Company in the Relevant Territory from time to time before the time of holding the meeting or adjourned meeting at which the person so authorised proposes to vote or handed to the chairman of the meeting at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(b)</w:t>
            </w:r>
          </w:p>
        </w:tc>
        <w:tc>
          <w:tcPr>
            <w:tcW w:w="9941" w:type="dxa"/>
            <w:tcBorders/>
            <w:vAlign w:val="center"/>
          </w:tcPr>
          <w:p>
            <w:pPr>
              <w:pStyle w:val="TableContents"/>
              <w:bidi w:val="0"/>
              <w:spacing w:before="0" w:after="283"/>
              <w:jc w:val="both"/>
              <w:rPr>
                <w:sz w:val="20"/>
              </w:rPr>
            </w:pPr>
            <w:r>
              <w:rPr>
                <w:sz w:val="20"/>
              </w:rPr>
              <w:t>in the case of such an appointment by any other corporate Shareholder, a copy of the resolution of its directors or other governing body of the Shareholder authorising the appointment of the corporate representative or a form of notice of appointment of corporate representative issued by the Company for such purpose or a copy of the relevant power of attorney, together with an up-to-date copy of the Shareholder’s constitutive documents and a list of directors or members of the governing body of the Shareholder as at the date of such resolution, or, as the case may be, power of attorney, in each case certified by a director, secretary or a member of the governing body of that Shareholder and notarised, or, in the case of a form of notice of appointment issued by the Company as aforesaid, completed and signed in accordance with the instructions thereon or in the case of a power of attorney a notarised copy of the relevant authority under which it was signed, shall have been deposited at such place or one of such places (if any) as is specified in the notice of meeting or in the form of notice issued by the Company as aforesaid (or, if no place is specified, at the Registration Office) not less than 48 hours before the time for holding the meeting or adjourned meeting or poll (as the case may be) at which the corporate representative proposes to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106.</w:t>
            </w:r>
          </w:p>
        </w:tc>
        <w:tc>
          <w:tcPr>
            <w:tcW w:w="9849" w:type="dxa"/>
            <w:tcBorders/>
            <w:vAlign w:val="center"/>
          </w:tcPr>
          <w:p>
            <w:pPr>
              <w:pStyle w:val="TableContents"/>
              <w:bidi w:val="0"/>
              <w:spacing w:before="0" w:after="283"/>
              <w:jc w:val="both"/>
              <w:rPr>
                <w:sz w:val="20"/>
              </w:rPr>
            </w:pPr>
            <w:r>
              <w:rPr>
                <w:sz w:val="20"/>
              </w:rPr>
              <w:t>No appointment of a corporate representative shall be valid unless it names the person authorised to act as the appointor’s representative and the appointor is also named. The Board may, unless it is satisfied that a person purporting to act as a corporate representative is the person named in the relevant instrument for his appointment, decline such person’s admission to the relevant meeting and/or reject his vote or demand for a poll and no Shareholder who may be affected by any exercise by the Board of its power in this connection shall have any claim against the Board or any of them nor may any such exercise by the Board of its powers invalidate the proceedings of the meeting in respect of which they were exercised or any resolution passed or defeated at such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sz w:val="20"/>
              </w:rPr>
            </w:pPr>
            <w:r>
              <w:rPr>
                <w:sz w:val="20"/>
              </w:rPr>
              <w:t>107.</w:t>
            </w:r>
          </w:p>
        </w:tc>
        <w:tc>
          <w:tcPr>
            <w:tcW w:w="9813" w:type="dxa"/>
            <w:tcBorders/>
            <w:vAlign w:val="center"/>
          </w:tcPr>
          <w:p>
            <w:pPr>
              <w:pStyle w:val="TableContents"/>
              <w:bidi w:val="0"/>
              <w:spacing w:before="0" w:after="283"/>
              <w:jc w:val="both"/>
              <w:rPr>
                <w:sz w:val="20"/>
              </w:rPr>
            </w:pPr>
            <w:r>
              <w:rPr>
                <w:sz w:val="20"/>
              </w:rPr>
              <w:t>The Registered Office of the Company shall be at such place in the Cayman Islands as the Board shall from time to time decide.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283"/>
              <w:jc w:val="left"/>
              <w:rPr>
                <w:sz w:val="20"/>
              </w:rPr>
            </w:pPr>
            <w:r>
              <w:rPr>
                <w:sz w:val="20"/>
              </w:rPr>
              <w:t>108.</w:t>
            </w:r>
          </w:p>
        </w:tc>
        <w:tc>
          <w:tcPr>
            <w:tcW w:w="9826" w:type="dxa"/>
            <w:tcBorders/>
            <w:vAlign w:val="center"/>
          </w:tcPr>
          <w:p>
            <w:pPr>
              <w:pStyle w:val="TableContents"/>
              <w:bidi w:val="0"/>
              <w:spacing w:before="0" w:after="283"/>
              <w:jc w:val="both"/>
              <w:rPr>
                <w:sz w:val="20"/>
              </w:rPr>
            </w:pPr>
            <w:r>
              <w:rPr>
                <w:sz w:val="20"/>
              </w:rPr>
              <w:t>The number of Directors shall not be less than two (2). The Company shall keep at its Registered Office a register of its directors and officers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109.</w:t>
            </w:r>
          </w:p>
        </w:tc>
        <w:tc>
          <w:tcPr>
            <w:tcW w:w="9849" w:type="dxa"/>
            <w:tcBorders/>
            <w:vAlign w:val="center"/>
          </w:tcPr>
          <w:p>
            <w:pPr>
              <w:pStyle w:val="TableContents"/>
              <w:bidi w:val="0"/>
              <w:spacing w:before="0" w:after="283"/>
              <w:jc w:val="both"/>
              <w:rPr>
                <w:sz w:val="20"/>
              </w:rPr>
            </w:pPr>
            <w:r>
              <w:rPr>
                <w:sz w:val="20"/>
              </w:rPr>
              <w:t>A Director may at any time, by notice in writing signed by him delivered to the Registered Office or at the Head Office or at a meeting of the Board, appoint any person (including another Director) to act as alternate Director in his place during his absence and may in like manner at any time terminate such appointment. If such person is not another Director such appointment unless previously approved by the Board shall have effect only upon and subject to being so approved. The appointment of an alternate Director shall terminate on the happening of any event which, were he a Director, would cause him to vacate such office or if his appointor ceases to be a Director. An alternate Director may act as alternate to more than one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177"/>
        <w:gridCol w:w="9675"/>
      </w:tblGrid>
      <w:tr>
        <w:trPr/>
        <w:tc>
          <w:tcPr>
            <w:tcW w:w="353" w:type="dxa"/>
            <w:tcBorders/>
            <w:vAlign w:val="center"/>
          </w:tcPr>
          <w:p>
            <w:pPr>
              <w:pStyle w:val="TableContents"/>
              <w:bidi w:val="0"/>
              <w:spacing w:before="0" w:after="283"/>
              <w:jc w:val="left"/>
              <w:rPr>
                <w:sz w:val="20"/>
              </w:rPr>
            </w:pPr>
            <w:r>
              <w:rPr>
                <w:sz w:val="20"/>
              </w:rPr>
              <w:t>110.</w:t>
            </w:r>
          </w:p>
        </w:tc>
        <w:tc>
          <w:tcPr>
            <w:tcW w:w="177" w:type="dxa"/>
            <w:tcBorders/>
            <w:vAlign w:val="center"/>
          </w:tcPr>
          <w:p>
            <w:pPr>
              <w:pStyle w:val="TableContents"/>
              <w:bidi w:val="0"/>
              <w:spacing w:before="0" w:after="283"/>
              <w:jc w:val="both"/>
              <w:rPr>
                <w:sz w:val="20"/>
              </w:rPr>
            </w:pPr>
            <w:r>
              <w:rPr>
                <w:sz w:val="20"/>
              </w:rPr>
              <w:t xml:space="preserve">(a) </w:t>
            </w:r>
          </w:p>
        </w:tc>
        <w:tc>
          <w:tcPr>
            <w:tcW w:w="9675" w:type="dxa"/>
            <w:tcBorders/>
            <w:vAlign w:val="center"/>
          </w:tcPr>
          <w:p>
            <w:pPr>
              <w:pStyle w:val="TableContents"/>
              <w:bidi w:val="0"/>
              <w:spacing w:before="0" w:after="283"/>
              <w:jc w:val="both"/>
              <w:rPr>
                <w:sz w:val="20"/>
              </w:rPr>
            </w:pPr>
            <w:r>
              <w:rPr>
                <w:sz w:val="20"/>
              </w:rPr>
              <w:t>An alternate Director shall (subject to his giving to the Company an address, telephone and facsimile number within the territory of the Head Office for the time being for the giving of notices on him and except when absent from the territory in which the Head Office is for the time being situate) be entitled (in addition to his appointor) to receive and (in lieu of his appointor) to waive notices of meetings of the Board and of any committee of the Board of which his appointor is a member and shall be entitled to attend and vote as a Director at any such meeting at which the Director appointing him is not personally present and generally at such meeting to perform all the functions of his appointor as a Director and for the purposes of the proceedings at such meeting the provisions of these Articles shall apply as if he (instead of his appointor) were a Director. If he shall be himself a Director or shall attend any such meeting as an alternate for more than one Director his voting rights shall be cumulative. If his appointor is for the time being absent from the territory in which the Head Office is for the time being situate or otherwise not available or unable to act, his signature to any resolution in writing of the Directors or any such committee shall be as effective as the signature of his appointor. His attestation of the affixing of the Seal shall be as effective as the signature and attestation of his appointor. An alternate Director shall not, save as aforesaid, have power to act as a Director nor shall he be deemed to be a Director for the purposes of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20"/>
              </w:rPr>
            </w:pPr>
            <w:r>
              <w:rPr>
                <w:sz w:val="20"/>
              </w:rPr>
              <w:t>(b)</w:t>
            </w:r>
          </w:p>
        </w:tc>
        <w:tc>
          <w:tcPr>
            <w:tcW w:w="9933" w:type="dxa"/>
            <w:tcBorders/>
            <w:vAlign w:val="center"/>
          </w:tcPr>
          <w:p>
            <w:pPr>
              <w:pStyle w:val="TableContents"/>
              <w:bidi w:val="0"/>
              <w:spacing w:before="0" w:after="283"/>
              <w:jc w:val="both"/>
              <w:rPr>
                <w:sz w:val="20"/>
              </w:rPr>
            </w:pPr>
            <w:r>
              <w:rPr>
                <w:sz w:val="20"/>
              </w:rPr>
              <w:t>An alternate Director shall be entitled to contract and be interested in and benefit from contracts or arrangements or transactions and to be repaid expenses and to be indemnified to the same extent mutatis mutandis as if he were a Director, but he shall not be entitled to receive from the Company in respect of his appointment as alternate Director any remuneration except only such part (if any) of the ordinary remuneration otherwise payable to his appointor as such appointor may by notice in writing to the Company from time to time direct.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(c)</w:t>
            </w:r>
          </w:p>
        </w:tc>
        <w:tc>
          <w:tcPr>
            <w:tcW w:w="9949" w:type="dxa"/>
            <w:tcBorders/>
            <w:vAlign w:val="center"/>
          </w:tcPr>
          <w:p>
            <w:pPr>
              <w:pStyle w:val="TableContents"/>
              <w:bidi w:val="0"/>
              <w:spacing w:before="0" w:after="283"/>
              <w:jc w:val="both"/>
              <w:rPr>
                <w:sz w:val="20"/>
              </w:rPr>
            </w:pPr>
            <w:r>
              <w:rPr>
                <w:sz w:val="20"/>
              </w:rPr>
              <w:t>A certificate by a Director (including for the purpose of this paragraph (c) an alternate Director) or the Secretary that a Director (who may be the one signing the certificate) was at the time of a resolution of the Directors or any committee thereof absent from the territory of the Head Office or otherwise not available or unable to act or has not supplied an address, telephone and facsimile number within the territory of the Head Office for the purposes of giving of notice to him shall in favour of all persons without express notice to the contrary, be conclusive of the matter so certified.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sz w:val="20"/>
              </w:rPr>
            </w:pPr>
            <w:r>
              <w:rPr>
                <w:sz w:val="20"/>
              </w:rPr>
              <w:t>111.</w:t>
            </w:r>
          </w:p>
        </w:tc>
        <w:tc>
          <w:tcPr>
            <w:tcW w:w="9834" w:type="dxa"/>
            <w:tcBorders/>
            <w:vAlign w:val="center"/>
          </w:tcPr>
          <w:p>
            <w:pPr>
              <w:pStyle w:val="TableContents"/>
              <w:bidi w:val="0"/>
              <w:spacing w:before="0" w:after="283"/>
              <w:jc w:val="both"/>
              <w:rPr>
                <w:sz w:val="20"/>
              </w:rPr>
            </w:pPr>
            <w:r>
              <w:rPr>
                <w:sz w:val="20"/>
              </w:rPr>
              <w:t>A Director or an alternate Director shall not be required to hold any qualification Shares but shall nevertheless be entitled to attend and speak at all general meetings of the Company and all meetings of any class of Shareholders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112.</w:t>
            </w:r>
          </w:p>
        </w:tc>
        <w:tc>
          <w:tcPr>
            <w:tcW w:w="9850" w:type="dxa"/>
            <w:tcBorders/>
            <w:vAlign w:val="center"/>
          </w:tcPr>
          <w:p>
            <w:pPr>
              <w:pStyle w:val="TableContents"/>
              <w:bidi w:val="0"/>
              <w:spacing w:before="0" w:after="283"/>
              <w:jc w:val="both"/>
              <w:rPr>
                <w:sz w:val="20"/>
              </w:rPr>
            </w:pPr>
            <w:r>
              <w:rPr>
                <w:sz w:val="20"/>
              </w:rPr>
              <w:t>The Directors shall be entitled to receive by way of ordinary remuneration for their services as Directors such sum as shall from time to time be determined by the Company in general meeting or by the Board, such sum (unless otherwise directed by the resolution by which it is voted) to be divided amongst the Directors in such proportions and in such manner as they may agree, or failing agreement, equally, except that in such event any Director holding office for less than the whole of the relevant period in respect of which the ordinary remuneration is paid shall only rank in such division in proportion to the time during such period for which he has held office. Such remuneration shall be in addition to any other remuneration to which a Director who holds any salaried employment or office in the Company may be entitled by reason of such employment or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113.</w:t>
            </w:r>
          </w:p>
        </w:tc>
        <w:tc>
          <w:tcPr>
            <w:tcW w:w="9843" w:type="dxa"/>
            <w:tcBorders/>
            <w:vAlign w:val="center"/>
          </w:tcPr>
          <w:p>
            <w:pPr>
              <w:pStyle w:val="TableContents"/>
              <w:bidi w:val="0"/>
              <w:spacing w:before="0" w:after="283"/>
              <w:jc w:val="both"/>
              <w:rPr>
                <w:sz w:val="20"/>
              </w:rPr>
            </w:pPr>
            <w:r>
              <w:rPr>
                <w:sz w:val="20"/>
              </w:rPr>
              <w:t>The Directors shall also be entitled to be repaid all travelling, hotel and other expenses reasonably incurred by them respectively in or about the performance of their duties as Directors, including their expenses of travelling to and from Board meetings, committee meetings or general meetings or otherwise incurred whilst engaged on the business of the Company or in the discharge of their duties as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114.</w:t>
            </w:r>
          </w:p>
        </w:tc>
        <w:tc>
          <w:tcPr>
            <w:tcW w:w="9843" w:type="dxa"/>
            <w:tcBorders/>
            <w:vAlign w:val="center"/>
          </w:tcPr>
          <w:p>
            <w:pPr>
              <w:pStyle w:val="TableContents"/>
              <w:bidi w:val="0"/>
              <w:spacing w:before="0" w:after="283"/>
              <w:jc w:val="both"/>
              <w:rPr>
                <w:sz w:val="20"/>
              </w:rPr>
            </w:pPr>
            <w:r>
              <w:rPr>
                <w:sz w:val="20"/>
              </w:rPr>
              <w:t>The Board may grant special remuneration to any Director who shall perform or has performed any special or extra services at the request of the Company. Such special remuneration may be made payable to such Director in addition to or in substitution for his ordinary remuneration as a Director, and may be made payable by way of salary, commission or participation in profits or otherwise as may be arranged.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sz w:val="20"/>
              </w:rPr>
            </w:pPr>
            <w:r>
              <w:rPr>
                <w:sz w:val="20"/>
              </w:rPr>
              <w:t>115.</w:t>
            </w:r>
          </w:p>
        </w:tc>
        <w:tc>
          <w:tcPr>
            <w:tcW w:w="9848" w:type="dxa"/>
            <w:tcBorders/>
            <w:vAlign w:val="center"/>
          </w:tcPr>
          <w:p>
            <w:pPr>
              <w:pStyle w:val="TableContents"/>
              <w:bidi w:val="0"/>
              <w:spacing w:before="0" w:after="283"/>
              <w:jc w:val="both"/>
              <w:rPr>
                <w:sz w:val="20"/>
              </w:rPr>
            </w:pPr>
            <w:r>
              <w:rPr>
                <w:sz w:val="20"/>
              </w:rPr>
              <w:t>Notwithstanding Articles 100, 101 and 102, the remuneration of a managing director, joint managing director, deputy managing director or an executive director or a Director appointed to any other office in the management of the Company may from time to time be fixed by the Board and may be by way of salary, commission, or participation in profits or otherwise or by all or any of those modes and with such other benefits (including pension and/or gratuity and/or other benefits on retirement) and allowances as the Board may from time to time decide. Such remuneration shall be in addition to his ordinary remuneration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202"/>
        <w:gridCol w:w="9640"/>
      </w:tblGrid>
      <w:tr>
        <w:trPr/>
        <w:tc>
          <w:tcPr>
            <w:tcW w:w="363" w:type="dxa"/>
            <w:tcBorders/>
            <w:vAlign w:val="center"/>
          </w:tcPr>
          <w:p>
            <w:pPr>
              <w:pStyle w:val="TableContents"/>
              <w:bidi w:val="0"/>
              <w:spacing w:before="0" w:after="283"/>
              <w:jc w:val="left"/>
              <w:rPr>
                <w:sz w:val="20"/>
              </w:rPr>
            </w:pPr>
            <w:r>
              <w:rPr>
                <w:sz w:val="20"/>
              </w:rPr>
              <w:t>116.</w:t>
            </w:r>
          </w:p>
        </w:tc>
        <w:tc>
          <w:tcPr>
            <w:tcW w:w="202" w:type="dxa"/>
            <w:tcBorders/>
            <w:vAlign w:val="center"/>
          </w:tcPr>
          <w:p>
            <w:pPr>
              <w:pStyle w:val="TableContents"/>
              <w:bidi w:val="0"/>
              <w:spacing w:before="0" w:after="283"/>
              <w:jc w:val="both"/>
              <w:rPr>
                <w:sz w:val="20"/>
              </w:rPr>
            </w:pPr>
            <w:r>
              <w:rPr>
                <w:sz w:val="20"/>
              </w:rPr>
              <w:t xml:space="preserve">(a) </w:t>
            </w:r>
          </w:p>
        </w:tc>
        <w:tc>
          <w:tcPr>
            <w:tcW w:w="9640" w:type="dxa"/>
            <w:tcBorders/>
            <w:vAlign w:val="center"/>
          </w:tcPr>
          <w:p>
            <w:pPr>
              <w:pStyle w:val="TableContents"/>
              <w:bidi w:val="0"/>
              <w:spacing w:before="0" w:after="283"/>
              <w:jc w:val="both"/>
              <w:rPr>
                <w:sz w:val="20"/>
              </w:rPr>
            </w:pPr>
            <w:r>
              <w:rPr>
                <w:sz w:val="20"/>
              </w:rPr>
              <w:t>Payments to any Director or past director of the Company of any sum by way of compensation for loss of office or as consideration for or in connection with his retirement from office (not being a payment to which the director of the Company or past director is contractually or statutorily entitled) must be approved by the Company in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(b)</w:t>
            </w:r>
          </w:p>
        </w:tc>
        <w:tc>
          <w:tcPr>
            <w:tcW w:w="9920" w:type="dxa"/>
            <w:tcBorders/>
            <w:vAlign w:val="center"/>
          </w:tcPr>
          <w:p>
            <w:pPr>
              <w:pStyle w:val="TableContents"/>
              <w:bidi w:val="0"/>
              <w:spacing w:before="0" w:after="283"/>
              <w:jc w:val="both"/>
              <w:rPr>
                <w:sz w:val="20"/>
              </w:rPr>
            </w:pPr>
            <w:r>
              <w:rPr>
                <w:sz w:val="20"/>
              </w:rPr>
              <w:t>Except as would, if the Company were a company incorporated in Hong Kong, be permitted by the Companies Ordinance as in force at the date of adoption of these Articles, and except as permitted under the Companies Act, the Company shall not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20"/>
              </w:rPr>
            </w:pPr>
            <w:r>
              <w:rPr>
                <w:sz w:val="20"/>
              </w:rPr>
              <w:t>(i)</w:t>
            </w:r>
          </w:p>
        </w:tc>
        <w:tc>
          <w:tcPr>
            <w:tcW w:w="9931" w:type="dxa"/>
            <w:tcBorders/>
            <w:vAlign w:val="center"/>
          </w:tcPr>
          <w:p>
            <w:pPr>
              <w:pStyle w:val="TableContents"/>
              <w:bidi w:val="0"/>
              <w:spacing w:before="0" w:after="283"/>
              <w:jc w:val="both"/>
              <w:rPr>
                <w:sz w:val="20"/>
              </w:rPr>
            </w:pPr>
            <w:r>
              <w:rPr>
                <w:sz w:val="20"/>
              </w:rPr>
              <w:t>make a loan to a Director or a director of any Holding Company of the Company or any of their respective Close Associates;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20"/>
              </w:rPr>
            </w:pPr>
            <w:r>
              <w:rPr>
                <w:sz w:val="20"/>
              </w:rPr>
              <w:t>(ii)</w:t>
            </w:r>
          </w:p>
        </w:tc>
        <w:tc>
          <w:tcPr>
            <w:tcW w:w="9897" w:type="dxa"/>
            <w:tcBorders/>
            <w:vAlign w:val="center"/>
          </w:tcPr>
          <w:p>
            <w:pPr>
              <w:pStyle w:val="TableContents"/>
              <w:bidi w:val="0"/>
              <w:spacing w:before="0" w:after="283"/>
              <w:jc w:val="both"/>
              <w:rPr>
                <w:sz w:val="20"/>
              </w:rPr>
            </w:pPr>
            <w:r>
              <w:rPr>
                <w:sz w:val="20"/>
              </w:rPr>
              <w:t>enter into any guarantee or provide any security in connection with a loan made by any person to a Director or a director of any Holding Company of the Company or any of their respective Close Associates;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sz w:val="20"/>
              </w:rPr>
            </w:pPr>
            <w:r>
              <w:rPr>
                <w:sz w:val="20"/>
              </w:rPr>
              <w:t>(iii)</w:t>
            </w:r>
          </w:p>
        </w:tc>
        <w:tc>
          <w:tcPr>
            <w:tcW w:w="9846" w:type="dxa"/>
            <w:tcBorders/>
            <w:vAlign w:val="center"/>
          </w:tcPr>
          <w:p>
            <w:pPr>
              <w:pStyle w:val="TableContents"/>
              <w:bidi w:val="0"/>
              <w:spacing w:before="0" w:after="283"/>
              <w:jc w:val="both"/>
              <w:rPr>
                <w:sz w:val="20"/>
              </w:rPr>
            </w:pPr>
            <w:r>
              <w:rPr>
                <w:sz w:val="20"/>
              </w:rPr>
              <w:t>if any one or more of the Directors hold (jointly or severally or directly or indirectly) a controlling interest in another company, make a loan to that other company or enter into any guarantee or provide any security in connection with a loan made by any person to that other company.</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230"/>
        <w:gridCol w:w="54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(c)</w:t>
            </w:r>
          </w:p>
        </w:tc>
        <w:tc>
          <w:tcPr>
            <w:tcW w:w="5420" w:type="dxa"/>
            <w:tcBorders/>
            <w:vAlign w:val="center"/>
          </w:tcPr>
          <w:p>
            <w:pPr>
              <w:pStyle w:val="TableContents"/>
              <w:bidi w:val="0"/>
              <w:spacing w:before="0" w:after="283"/>
              <w:jc w:val="left"/>
              <w:rPr>
                <w:sz w:val="20"/>
              </w:rPr>
            </w:pPr>
            <w:r>
              <w:rPr>
                <w:sz w:val="20"/>
              </w:rPr>
              <w:t>Article 116(a) and (b) shall only apply during the Relevant Period.</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95"/>
        <w:gridCol w:w="2735"/>
      </w:tblGrid>
      <w:tr>
        <w:trPr/>
        <w:tc>
          <w:tcPr>
            <w:tcW w:w="395" w:type="dxa"/>
            <w:tcBorders/>
            <w:vAlign w:val="center"/>
          </w:tcPr>
          <w:p>
            <w:pPr>
              <w:pStyle w:val="TableContents"/>
              <w:bidi w:val="0"/>
              <w:spacing w:before="0" w:after="283"/>
              <w:jc w:val="left"/>
              <w:rPr>
                <w:sz w:val="20"/>
              </w:rPr>
            </w:pPr>
            <w:r>
              <w:rPr>
                <w:sz w:val="20"/>
              </w:rPr>
              <w:t>117.</w:t>
            </w:r>
          </w:p>
        </w:tc>
        <w:tc>
          <w:tcPr>
            <w:tcW w:w="2735" w:type="dxa"/>
            <w:tcBorders/>
            <w:vAlign w:val="center"/>
          </w:tcPr>
          <w:p>
            <w:pPr>
              <w:pStyle w:val="TableContents"/>
              <w:bidi w:val="0"/>
              <w:spacing w:before="0" w:after="283"/>
              <w:jc w:val="left"/>
              <w:rPr>
                <w:sz w:val="20"/>
              </w:rPr>
            </w:pPr>
            <w:r>
              <w:rPr>
                <w:sz w:val="20"/>
              </w:rPr>
              <w:t>A Director shall vacate his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20"/>
              </w:rPr>
            </w:pPr>
            <w:r>
              <w:rPr>
                <w:sz w:val="20"/>
              </w:rPr>
              <w:t>(a)</w:t>
            </w:r>
          </w:p>
        </w:tc>
        <w:tc>
          <w:tcPr>
            <w:tcW w:w="9906" w:type="dxa"/>
            <w:tcBorders/>
            <w:vAlign w:val="center"/>
          </w:tcPr>
          <w:p>
            <w:pPr>
              <w:pStyle w:val="TableContents"/>
              <w:bidi w:val="0"/>
              <w:spacing w:before="0" w:after="283"/>
              <w:jc w:val="both"/>
              <w:rPr>
                <w:sz w:val="20"/>
              </w:rPr>
            </w:pPr>
            <w:r>
              <w:rPr>
                <w:sz w:val="20"/>
              </w:rPr>
              <w:t>if he becomes bankrupt or has a receiving order made against him or suspends payment or compounds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(b)</w:t>
            </w:r>
          </w:p>
        </w:tc>
        <w:tc>
          <w:tcPr>
            <w:tcW w:w="9921" w:type="dxa"/>
            <w:tcBorders/>
            <w:vAlign w:val="center"/>
          </w:tcPr>
          <w:p>
            <w:pPr>
              <w:pStyle w:val="TableContents"/>
              <w:bidi w:val="0"/>
              <w:spacing w:before="0" w:after="283"/>
              <w:jc w:val="both"/>
              <w:rPr>
                <w:sz w:val="20"/>
              </w:rPr>
            </w:pPr>
            <w:r>
              <w:rPr>
                <w:sz w:val="20"/>
              </w:rPr>
              <w:t>if he dies or becomes of unsound mind as determined pursuant to an order made by any competent court or official on the grounds that he is or may be suffering from mental disorder or is otherwise incapable of managing his affairs and the Board resolves that his office be vacated;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(c)</w:t>
            </w:r>
          </w:p>
        </w:tc>
        <w:tc>
          <w:tcPr>
            <w:tcW w:w="9939" w:type="dxa"/>
            <w:tcBorders/>
            <w:vAlign w:val="center"/>
          </w:tcPr>
          <w:p>
            <w:pPr>
              <w:pStyle w:val="TableContents"/>
              <w:bidi w:val="0"/>
              <w:spacing w:before="0" w:after="283"/>
              <w:jc w:val="both"/>
              <w:rPr>
                <w:sz w:val="20"/>
              </w:rPr>
            </w:pPr>
            <w:r>
              <w:rPr>
                <w:sz w:val="20"/>
              </w:rPr>
              <w:t>if he absents himself from the meetings of the Board during a continuous period of six months, without special leave of absence from the Board, and his alternate Director (if any) shall not during such period have attended in his stead, and the Board pass a resolution that he has by reason of such absence vacated his office;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(d)</w:t>
            </w:r>
          </w:p>
        </w:tc>
        <w:tc>
          <w:tcPr>
            <w:tcW w:w="9905" w:type="dxa"/>
            <w:tcBorders/>
            <w:vAlign w:val="center"/>
          </w:tcPr>
          <w:p>
            <w:pPr>
              <w:pStyle w:val="TableContents"/>
              <w:bidi w:val="0"/>
              <w:spacing w:before="0" w:after="283"/>
              <w:jc w:val="both"/>
              <w:rPr>
                <w:sz w:val="20"/>
              </w:rPr>
            </w:pPr>
            <w:r>
              <w:rPr>
                <w:sz w:val="20"/>
              </w:rPr>
              <w:t>if he becomes prohibited by law from acting as a Director, or he ceases to be a Director by virtue of any provision of law or is removed from office pursuant to these Articles;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(e)</w:t>
            </w:r>
          </w:p>
        </w:tc>
        <w:tc>
          <w:tcPr>
            <w:tcW w:w="9938" w:type="dxa"/>
            <w:tcBorders/>
            <w:vAlign w:val="center"/>
          </w:tcPr>
          <w:p>
            <w:pPr>
              <w:pStyle w:val="TableContents"/>
              <w:bidi w:val="0"/>
              <w:spacing w:before="0" w:after="283"/>
              <w:jc w:val="both"/>
              <w:rPr>
                <w:sz w:val="20"/>
              </w:rPr>
            </w:pPr>
            <w:r>
              <w:rPr>
                <w:sz w:val="20"/>
              </w:rPr>
              <w:t>if he has been validly required by the stock exchange of the Relevant Territory to cease to be a Director and the relevant time period for application for review of or appeal against such requirement has lapsed and no application for review or appeal has been filed or is underway against such requirement;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20"/>
              </w:rPr>
            </w:pPr>
            <w:r>
              <w:rPr>
                <w:sz w:val="20"/>
              </w:rPr>
              <w:t>(f)</w:t>
            </w:r>
          </w:p>
        </w:tc>
        <w:tc>
          <w:tcPr>
            <w:tcW w:w="9944" w:type="dxa"/>
            <w:tcBorders/>
            <w:vAlign w:val="center"/>
          </w:tcPr>
          <w:p>
            <w:pPr>
              <w:pStyle w:val="TableContents"/>
              <w:bidi w:val="0"/>
              <w:spacing w:before="0" w:after="283"/>
              <w:jc w:val="both"/>
              <w:rPr>
                <w:sz w:val="20"/>
              </w:rPr>
            </w:pPr>
            <w:r>
              <w:rPr>
                <w:sz w:val="20"/>
              </w:rPr>
              <w:t>if by notice in writing delivered to the Company at its Registered Office or at the Head Office or tendered at a meeting of the Board he resigns his office; or</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245"/>
        <w:gridCol w:w="80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(g)</w:t>
            </w:r>
          </w:p>
        </w:tc>
        <w:tc>
          <w:tcPr>
            <w:tcW w:w="8045" w:type="dxa"/>
            <w:tcBorders/>
            <w:vAlign w:val="center"/>
          </w:tcPr>
          <w:p>
            <w:pPr>
              <w:pStyle w:val="TableContents"/>
              <w:bidi w:val="0"/>
              <w:spacing w:before="0" w:after="283"/>
              <w:jc w:val="both"/>
              <w:rPr>
                <w:sz w:val="20"/>
              </w:rPr>
            </w:pPr>
            <w:r>
              <w:rPr>
                <w:sz w:val="20"/>
              </w:rPr>
              <w:t>if he shall be removed from office by an Ordinary Resolution of the Company under Article 126;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(h)</w:t>
            </w:r>
          </w:p>
        </w:tc>
        <w:tc>
          <w:tcPr>
            <w:tcW w:w="9914" w:type="dxa"/>
            <w:tcBorders/>
            <w:vAlign w:val="center"/>
          </w:tcPr>
          <w:p>
            <w:pPr>
              <w:pStyle w:val="TableContents"/>
              <w:bidi w:val="0"/>
              <w:spacing w:before="0" w:after="283"/>
              <w:jc w:val="both"/>
              <w:rPr>
                <w:sz w:val="20"/>
              </w:rPr>
            </w:pPr>
            <w:r>
              <w:rPr>
                <w:sz w:val="20"/>
              </w:rPr>
              <w:t>if he shall be removed from the office by notice in writing served on him signed by not less than ¾ in number (or if that is not a round number, the nearest lower round number) of the Directors (including himself) then in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sz w:val="20"/>
              </w:rPr>
            </w:pPr>
            <w:r>
              <w:rPr>
                <w:sz w:val="20"/>
              </w:rPr>
              <w:t>118.</w:t>
            </w:r>
          </w:p>
        </w:tc>
        <w:tc>
          <w:tcPr>
            <w:tcW w:w="9833" w:type="dxa"/>
            <w:tcBorders/>
            <w:vAlign w:val="center"/>
          </w:tcPr>
          <w:p>
            <w:pPr>
              <w:pStyle w:val="TableContents"/>
              <w:bidi w:val="0"/>
              <w:spacing w:before="0" w:after="283"/>
              <w:jc w:val="both"/>
              <w:rPr>
                <w:sz w:val="20"/>
              </w:rPr>
            </w:pPr>
            <w:r>
              <w:rPr>
                <w:sz w:val="20"/>
              </w:rPr>
              <w:t>No Director shall be required to vacate office or be ineligible for re-election or re-appointment as a Director, and no person shall be ineligible for appointment as a Director by reason only of his having attained any particular 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180"/>
        <w:gridCol w:w="9671"/>
      </w:tblGrid>
      <w:tr>
        <w:trPr/>
        <w:tc>
          <w:tcPr>
            <w:tcW w:w="354" w:type="dxa"/>
            <w:tcBorders/>
            <w:vAlign w:val="center"/>
          </w:tcPr>
          <w:p>
            <w:pPr>
              <w:pStyle w:val="TableContents"/>
              <w:bidi w:val="0"/>
              <w:spacing w:before="0" w:after="283"/>
              <w:jc w:val="left"/>
              <w:rPr>
                <w:sz w:val="20"/>
              </w:rPr>
            </w:pPr>
            <w:r>
              <w:rPr>
                <w:sz w:val="20"/>
              </w:rPr>
              <w:t>119.</w:t>
            </w:r>
          </w:p>
        </w:tc>
        <w:tc>
          <w:tcPr>
            <w:tcW w:w="180" w:type="dxa"/>
            <w:tcBorders/>
            <w:vAlign w:val="center"/>
          </w:tcPr>
          <w:p>
            <w:pPr>
              <w:pStyle w:val="TableContents"/>
              <w:bidi w:val="0"/>
              <w:spacing w:before="0" w:after="283"/>
              <w:jc w:val="both"/>
              <w:rPr>
                <w:sz w:val="20"/>
              </w:rPr>
            </w:pPr>
            <w:r>
              <w:rPr>
                <w:sz w:val="20"/>
              </w:rPr>
              <w:t xml:space="preserve">(a) </w:t>
            </w:r>
          </w:p>
        </w:tc>
        <w:tc>
          <w:tcPr>
            <w:tcW w:w="9671" w:type="dxa"/>
            <w:tcBorders/>
            <w:vAlign w:val="center"/>
          </w:tcPr>
          <w:p>
            <w:pPr>
              <w:pStyle w:val="TableContents"/>
              <w:bidi w:val="0"/>
              <w:spacing w:before="0" w:after="283"/>
              <w:jc w:val="both"/>
              <w:rPr>
                <w:sz w:val="20"/>
              </w:rPr>
            </w:pPr>
            <w:r>
              <w:rPr>
                <w:sz w:val="20"/>
              </w:rPr>
              <w:t>No Director or intended Director shall be disqualified by his office from contracting with the Company either as vendor, purchaser or otherwise nor shall 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realised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at which it is practicable for him to do so, either specifically or by way of a general notice stating that, by reason of the facts specified in the notice, he is to be regarded as interested in any contracts of a specified description which may subsequently be made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(b)</w:t>
            </w:r>
          </w:p>
        </w:tc>
        <w:tc>
          <w:tcPr>
            <w:tcW w:w="9941" w:type="dxa"/>
            <w:tcBorders/>
            <w:vAlign w:val="center"/>
          </w:tcPr>
          <w:p>
            <w:pPr>
              <w:pStyle w:val="TableContents"/>
              <w:bidi w:val="0"/>
              <w:spacing w:before="0" w:after="283"/>
              <w:jc w:val="both"/>
              <w:rPr>
                <w:sz w:val="20"/>
              </w:rPr>
            </w:pPr>
            <w:r>
              <w:rPr>
                <w:sz w:val="20"/>
              </w:rPr>
              <w:t>Any Director may continue to be or become a director, managing director, joint managing director, deputy managing director, executive director, manager or other officer or member of any other company in which the Company may be interested and (unless otherwise agreed between the Company and the Director) no such Director shall be liable to account to the Company or the Shareholders for any remuneration or other benefits received by him as a director, managing director, joint managing director, deputy managing director, executive director, manager or other officer or member of any such other company. The Directors may exercise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as directors, managing directors, joint managing directors, deputy managing director, executive directors, managers or other officers of such company) and any Director may vote in favour of the exercise of such voting rights in the manner aforesaid notwithstanding that he may be, or is about to be, appointed a director, managing director, joint managing director, deputy managing director, executive director, manager or other officer of such a company, and that as such he is or may become interested in the exercise of such voting rights in the manner aforesaid.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sz w:val="20"/>
              </w:rPr>
            </w:pPr>
            <w:r>
              <w:rPr>
                <w:sz w:val="20"/>
              </w:rPr>
              <w:t>(c)</w:t>
            </w:r>
          </w:p>
        </w:tc>
        <w:tc>
          <w:tcPr>
            <w:tcW w:w="9946" w:type="dxa"/>
            <w:tcBorders/>
            <w:vAlign w:val="center"/>
          </w:tcPr>
          <w:p>
            <w:pPr>
              <w:pStyle w:val="TableContents"/>
              <w:bidi w:val="0"/>
              <w:spacing w:before="0" w:after="283"/>
              <w:jc w:val="both"/>
              <w:rPr>
                <w:sz w:val="20"/>
              </w:rPr>
            </w:pPr>
            <w:r>
              <w:rPr>
                <w:sz w:val="20"/>
              </w:rPr>
              <w:t>A Director may hold any other office or place of profit with the Company (except that of Auditors) in conjunction with his office of Director for such period and upon such terms as the Board may determine, and may be paid such extra remuneration therefor (whether by way of salary, commission, participation in profit or otherwise) as the Board may determine, and such extra remuneration shall be in addition to any remuneration provided for by or pursuant to any other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20"/>
              </w:rPr>
            </w:pPr>
            <w:r>
              <w:rPr>
                <w:sz w:val="20"/>
              </w:rPr>
              <w:t>(d)</w:t>
            </w:r>
          </w:p>
        </w:tc>
        <w:tc>
          <w:tcPr>
            <w:tcW w:w="9929" w:type="dxa"/>
            <w:tcBorders/>
            <w:vAlign w:val="center"/>
          </w:tcPr>
          <w:p>
            <w:pPr>
              <w:pStyle w:val="TableContents"/>
              <w:bidi w:val="0"/>
              <w:spacing w:before="0" w:after="283"/>
              <w:jc w:val="both"/>
              <w:rPr>
                <w:sz w:val="20"/>
              </w:rPr>
            </w:pPr>
            <w:r>
              <w:rPr>
                <w:sz w:val="20"/>
              </w:rPr>
              <w:t>A Director shall not vote (nor shall he be counted in the quorum) on any resolution of the Board in respect of any contract or arrangement or proposal in which he or any of his Close Associate(s) has/have a material interest, and if he shall do so his vote shall not be counted (nor shall he be counted in the quorum for that resolution), but this prohibition shall not apply to any of the following matters namely:</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200"/>
        <w:gridCol w:w="37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3785" w:type="dxa"/>
            <w:tcBorders/>
            <w:vAlign w:val="center"/>
          </w:tcPr>
          <w:p>
            <w:pPr>
              <w:pStyle w:val="TableContents"/>
              <w:bidi w:val="0"/>
              <w:spacing w:before="0" w:after="283"/>
              <w:jc w:val="left"/>
              <w:rPr>
                <w:sz w:val="20"/>
              </w:rPr>
            </w:pPr>
            <w:r>
              <w:rPr>
                <w:sz w:val="20"/>
              </w:rPr>
              <w:t>the giving of any security or indemnity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(A)</w:t>
            </w:r>
          </w:p>
        </w:tc>
        <w:tc>
          <w:tcPr>
            <w:tcW w:w="9881" w:type="dxa"/>
            <w:tcBorders/>
            <w:vAlign w:val="center"/>
          </w:tcPr>
          <w:p>
            <w:pPr>
              <w:pStyle w:val="TableContents"/>
              <w:bidi w:val="0"/>
              <w:spacing w:before="0" w:after="283"/>
              <w:jc w:val="both"/>
              <w:rPr>
                <w:sz w:val="20"/>
              </w:rPr>
            </w:pPr>
            <w:r>
              <w:rPr>
                <w:sz w:val="20"/>
              </w:rPr>
              <w:t>to the Director or his Close Associate(s) in respect of money lent or obligations incurred or undertaken by him or any of them at the request of or for the benefit of the Company or any of its subsidiaries;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20"/>
              </w:rPr>
            </w:pPr>
            <w:r>
              <w:rPr>
                <w:sz w:val="20"/>
              </w:rPr>
              <w:t>(B)</w:t>
            </w:r>
          </w:p>
        </w:tc>
        <w:tc>
          <w:tcPr>
            <w:tcW w:w="9892" w:type="dxa"/>
            <w:tcBorders/>
            <w:vAlign w:val="center"/>
          </w:tcPr>
          <w:p>
            <w:pPr>
              <w:pStyle w:val="TableContents"/>
              <w:bidi w:val="0"/>
              <w:spacing w:before="0" w:after="283"/>
              <w:jc w:val="both"/>
              <w:rPr>
                <w:sz w:val="20"/>
              </w:rPr>
            </w:pPr>
            <w:r>
              <w:rPr>
                <w:sz w:val="20"/>
              </w:rPr>
              <w:t>to a third party in respect of a debt or obligation of the Company or any of its subsidiaries for which the Director or his Close Associate(s) has himself/ themselves assumed responsibility in whole or in part and whether alone or jointly under a guarantee or indemnity or by the giving of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20"/>
              </w:rPr>
            </w:pPr>
            <w:r>
              <w:rPr>
                <w:sz w:val="20"/>
              </w:rPr>
              <w:t>(ii)</w:t>
            </w:r>
          </w:p>
        </w:tc>
        <w:tc>
          <w:tcPr>
            <w:tcW w:w="9911" w:type="dxa"/>
            <w:tcBorders/>
            <w:vAlign w:val="center"/>
          </w:tcPr>
          <w:p>
            <w:pPr>
              <w:pStyle w:val="TableContents"/>
              <w:bidi w:val="0"/>
              <w:spacing w:before="0" w:after="283"/>
              <w:jc w:val="both"/>
              <w:rPr>
                <w:sz w:val="20"/>
              </w:rPr>
            </w:pPr>
            <w:r>
              <w:rPr>
                <w:sz w:val="20"/>
              </w:rPr>
              <w:t>any proposal concerning an offer of shares or debentures or other securities of or by the Company or any other company which the Company may promote or be interested in for subscription or purchase where the Director or his Close Associate(s) is/are or is/are to be interested as a participant in the underwriting or sub-underwriting of the offer;</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320"/>
        <w:gridCol w:w="90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(iii)</w:t>
            </w:r>
          </w:p>
        </w:tc>
        <w:tc>
          <w:tcPr>
            <w:tcW w:w="9050" w:type="dxa"/>
            <w:tcBorders/>
            <w:vAlign w:val="center"/>
          </w:tcPr>
          <w:p>
            <w:pPr>
              <w:pStyle w:val="TableContents"/>
              <w:bidi w:val="0"/>
              <w:spacing w:before="0" w:after="283"/>
              <w:jc w:val="both"/>
              <w:rPr>
                <w:sz w:val="20"/>
              </w:rPr>
            </w:pPr>
            <w:r>
              <w:rPr>
                <w:sz w:val="20"/>
              </w:rPr>
              <w:t>any proposal or arrangement concerning the benefit of employees of the Company or its subsidiaries including: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sz w:val="20"/>
              </w:rPr>
            </w:pPr>
            <w:r>
              <w:rPr>
                <w:sz w:val="20"/>
              </w:rPr>
              <w:t>(A)</w:t>
            </w:r>
          </w:p>
        </w:tc>
        <w:tc>
          <w:tcPr>
            <w:tcW w:w="9877" w:type="dxa"/>
            <w:tcBorders/>
            <w:vAlign w:val="center"/>
          </w:tcPr>
          <w:p>
            <w:pPr>
              <w:pStyle w:val="TableContents"/>
              <w:bidi w:val="0"/>
              <w:spacing w:before="0" w:after="283"/>
              <w:jc w:val="both"/>
              <w:rPr>
                <w:sz w:val="20"/>
              </w:rPr>
            </w:pPr>
            <w:r>
              <w:rPr>
                <w:sz w:val="20"/>
              </w:rPr>
              <w:t>the adoption, modification or operation of any employees’ share scheme or any share incentive or share option scheme under which the Director or his Close Associate(s) may benefit;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sz w:val="20"/>
              </w:rPr>
            </w:pPr>
            <w:r>
              <w:rPr>
                <w:sz w:val="20"/>
              </w:rPr>
              <w:t>(B)</w:t>
            </w:r>
          </w:p>
        </w:tc>
        <w:tc>
          <w:tcPr>
            <w:tcW w:w="9899" w:type="dxa"/>
            <w:tcBorders/>
            <w:vAlign w:val="center"/>
          </w:tcPr>
          <w:p>
            <w:pPr>
              <w:pStyle w:val="TableContents"/>
              <w:bidi w:val="0"/>
              <w:spacing w:before="0" w:after="283"/>
              <w:jc w:val="both"/>
              <w:rPr>
                <w:sz w:val="20"/>
              </w:rPr>
            </w:pPr>
            <w:r>
              <w:rPr>
                <w:sz w:val="20"/>
              </w:rPr>
              <w:t>the adoption, modification or operation of a pension fund or retirement, death or disability benefits scheme which relates both to Directors, his Close Associates and employees of the Company or any of its subsidiaries and does not provide in respect of any Director or his Close Associate(s), as such any privilege or advantage not generally accorded to the class of persons to which such scheme or fund relates;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sz w:val="20"/>
              </w:rPr>
            </w:pPr>
            <w:r>
              <w:rPr>
                <w:sz w:val="20"/>
              </w:rPr>
              <w:t>(iv)</w:t>
            </w:r>
          </w:p>
        </w:tc>
        <w:tc>
          <w:tcPr>
            <w:tcW w:w="9861" w:type="dxa"/>
            <w:tcBorders/>
            <w:vAlign w:val="center"/>
          </w:tcPr>
          <w:p>
            <w:pPr>
              <w:pStyle w:val="TableContents"/>
              <w:bidi w:val="0"/>
              <w:spacing w:before="0" w:after="283"/>
              <w:jc w:val="both"/>
              <w:rPr>
                <w:sz w:val="20"/>
              </w:rPr>
            </w:pPr>
            <w:r>
              <w:rPr>
                <w:sz w:val="20"/>
              </w:rPr>
              <w:t>any contract or arrangement in which the Director or his Close Associate(s) is/ are interested in the same manner as other holders of shares or debentures or other securities of the Company by virtue only of his/their interest in shares or debentures or other securities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(e)</w:t>
            </w:r>
          </w:p>
        </w:tc>
        <w:tc>
          <w:tcPr>
            <w:tcW w:w="9949" w:type="dxa"/>
            <w:tcBorders/>
            <w:vAlign w:val="center"/>
          </w:tcPr>
          <w:p>
            <w:pPr>
              <w:pStyle w:val="TableContents"/>
              <w:bidi w:val="0"/>
              <w:spacing w:before="0" w:after="283"/>
              <w:jc w:val="both"/>
              <w:rPr>
                <w:sz w:val="20"/>
              </w:rPr>
            </w:pPr>
            <w:r>
              <w:rPr>
                <w:sz w:val="20"/>
              </w:rPr>
              <w:t>Where proposals are under consideration concerning the appointment (including fixing or varying the terms of or terminating the appointment) of two or more Directors to offices or employments with the Company or any company in which the Company is interested, such proposals shall be divided and considered in relation to each Director separately and in such case each of the Directors concerned (if not prohibited from voting under paragraph (d)) shall be entitled to vote (and be counted in the quorum) in respect of each resolution except that concerning his own appointment.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20"/>
              </w:rPr>
            </w:pPr>
            <w:r>
              <w:rPr>
                <w:sz w:val="20"/>
              </w:rPr>
              <w:t>(f)</w:t>
            </w:r>
          </w:p>
        </w:tc>
        <w:tc>
          <w:tcPr>
            <w:tcW w:w="9985" w:type="dxa"/>
            <w:tcBorders/>
            <w:vAlign w:val="center"/>
          </w:tcPr>
          <w:p>
            <w:pPr>
              <w:pStyle w:val="TableContents"/>
              <w:bidi w:val="0"/>
              <w:spacing w:before="0" w:after="283"/>
              <w:jc w:val="both"/>
              <w:rPr>
                <w:sz w:val="20"/>
              </w:rPr>
            </w:pPr>
            <w:r>
              <w:rPr>
                <w:sz w:val="20"/>
              </w:rPr>
              <w:t>If any question shall arise at any meeting of the Board as to the materiality of the interest of a Director (other than the chairman of the meeting) or his Close Associates or as to the entitlement of any Director (other than the chairman of the meeting) to vote or be counted in the quorum and such question is not resolved by his voluntarily agreeing to abstain from voting or not to be counted in the quorum, such question shall be referred to the chairman of the meeting and his ruling in relation to such other Director shall be final and conclusive except in a case where the nature or extent of the interest of the Director or his Close Associates concerned as known to such Director has not been fairly disclosed to the Board. If any question as aforesaid shall arise in respect of the chairman of the meeting or his Close Associates such question shall be decided by a resolution of the Board (for which purpose such chairman shall not be counted in the quorum and shall not vote thereon) and such resolution shall be final and conclusive except in a case where the nature or extent of the interest of such chairman or his Close Associates as known to him has not been fairly disclosed to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ROTATION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181"/>
        <w:gridCol w:w="9666"/>
      </w:tblGrid>
      <w:tr>
        <w:trPr/>
        <w:tc>
          <w:tcPr>
            <w:tcW w:w="358" w:type="dxa"/>
            <w:tcBorders/>
            <w:vAlign w:val="center"/>
          </w:tcPr>
          <w:p>
            <w:pPr>
              <w:pStyle w:val="TableContents"/>
              <w:bidi w:val="0"/>
              <w:spacing w:before="0" w:after="283"/>
              <w:jc w:val="left"/>
              <w:rPr>
                <w:sz w:val="20"/>
              </w:rPr>
            </w:pPr>
            <w:r>
              <w:rPr>
                <w:sz w:val="20"/>
              </w:rPr>
              <w:t>120.</w:t>
            </w:r>
          </w:p>
        </w:tc>
        <w:tc>
          <w:tcPr>
            <w:tcW w:w="181" w:type="dxa"/>
            <w:tcBorders/>
            <w:vAlign w:val="center"/>
          </w:tcPr>
          <w:p>
            <w:pPr>
              <w:pStyle w:val="TableContents"/>
              <w:bidi w:val="0"/>
              <w:spacing w:before="0" w:after="283"/>
              <w:jc w:val="both"/>
              <w:rPr>
                <w:sz w:val="20"/>
              </w:rPr>
            </w:pPr>
            <w:r>
              <w:rPr>
                <w:sz w:val="20"/>
              </w:rPr>
              <w:t>(a)</w:t>
            </w:r>
          </w:p>
        </w:tc>
        <w:tc>
          <w:tcPr>
            <w:tcW w:w="9666" w:type="dxa"/>
            <w:tcBorders/>
            <w:vAlign w:val="center"/>
          </w:tcPr>
          <w:p>
            <w:pPr>
              <w:pStyle w:val="TableContents"/>
              <w:bidi w:val="0"/>
              <w:spacing w:before="0" w:after="283"/>
              <w:jc w:val="both"/>
              <w:rPr>
                <w:sz w:val="20"/>
              </w:rPr>
            </w:pPr>
            <w:r>
              <w:rPr>
                <w:sz w:val="20"/>
              </w:rPr>
              <w:t>Notwithstanding any other provisions in these Articles, at each annual general meeting one-third of the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A retiring Director shall be eligible for re-election. The Company at the general meeting at which a Director retires may fill the vacated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(b)</w:t>
            </w:r>
          </w:p>
        </w:tc>
        <w:tc>
          <w:tcPr>
            <w:tcW w:w="9935" w:type="dxa"/>
            <w:tcBorders/>
            <w:vAlign w:val="center"/>
          </w:tcPr>
          <w:p>
            <w:pPr>
              <w:pStyle w:val="TableContents"/>
              <w:bidi w:val="0"/>
              <w:spacing w:before="0" w:after="283"/>
              <w:jc w:val="both"/>
              <w:rPr>
                <w:sz w:val="20"/>
              </w:rPr>
            </w:pPr>
            <w:r>
              <w:rPr>
                <w:sz w:val="20"/>
              </w:rPr>
              <w:t>The Directors to retire by rotation shall include (so far as necessary to obtain the number required) any Director who wishes to retire and not to offer himself for re-election. Any Director who has not been subject to retirement by rotation in the three years preceding the annual general meeting shall retire by rotation at such annual general meeting. Any further Directors so to retire shall be those who have been longest in office since their last re-election or appointment and so that as between persons who became or were last re-elected Directors on the same day those to retire shall (unless they otherwise agree among themselves) be determined by lot.</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230"/>
        <w:gridCol w:w="5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(c)</w:t>
            </w:r>
          </w:p>
        </w:tc>
        <w:tc>
          <w:tcPr>
            <w:tcW w:w="5525" w:type="dxa"/>
            <w:tcBorders/>
            <w:vAlign w:val="center"/>
          </w:tcPr>
          <w:p>
            <w:pPr>
              <w:pStyle w:val="TableContents"/>
              <w:bidi w:val="0"/>
              <w:spacing w:before="0" w:after="283"/>
              <w:jc w:val="left"/>
              <w:rPr>
                <w:sz w:val="20"/>
              </w:rPr>
            </w:pPr>
            <w:r>
              <w:rPr>
                <w:sz w:val="20"/>
              </w:rPr>
              <w:t>A Director is not required to retire upon reaching any particular 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sz w:val="20"/>
              </w:rPr>
            </w:pPr>
            <w:r>
              <w:rPr>
                <w:sz w:val="20"/>
              </w:rPr>
              <w:t>121.</w:t>
            </w:r>
          </w:p>
        </w:tc>
        <w:tc>
          <w:tcPr>
            <w:tcW w:w="9842" w:type="dxa"/>
            <w:tcBorders/>
            <w:vAlign w:val="center"/>
          </w:tcPr>
          <w:p>
            <w:pPr>
              <w:pStyle w:val="TableContents"/>
              <w:bidi w:val="0"/>
              <w:spacing w:before="0" w:after="283"/>
              <w:jc w:val="both"/>
              <w:rPr>
                <w:sz w:val="20"/>
              </w:rPr>
            </w:pPr>
            <w:r>
              <w:rPr>
                <w:sz w:val="20"/>
              </w:rPr>
              <w:t>If at any general meeting at which an election of Directors ought to take place, the places of the retiring Directors are not filled, the retiring Directors or such of them as have not had their places filled shall be deemed to have been re-elected and shall, if willing, continue in office until the next annual general meeting and so on from year to year until their places are filled, unless:</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230"/>
        <w:gridCol w:w="61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6125" w:type="dxa"/>
            <w:tcBorders/>
            <w:vAlign w:val="center"/>
          </w:tcPr>
          <w:p>
            <w:pPr>
              <w:pStyle w:val="TableContents"/>
              <w:bidi w:val="0"/>
              <w:spacing w:before="0" w:after="283"/>
              <w:jc w:val="left"/>
              <w:rPr>
                <w:sz w:val="20"/>
              </w:rPr>
            </w:pPr>
            <w:r>
              <w:rPr>
                <w:sz w:val="20"/>
              </w:rPr>
              <w:t>it shall be determined at such meeting to reduce the number of Directors; or</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45"/>
        <w:gridCol w:w="5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(b)</w:t>
            </w:r>
          </w:p>
        </w:tc>
        <w:tc>
          <w:tcPr>
            <w:tcW w:w="5960" w:type="dxa"/>
            <w:tcBorders/>
            <w:vAlign w:val="center"/>
          </w:tcPr>
          <w:p>
            <w:pPr>
              <w:pStyle w:val="TableContents"/>
              <w:bidi w:val="0"/>
              <w:spacing w:before="0" w:after="283"/>
              <w:jc w:val="left"/>
              <w:rPr>
                <w:sz w:val="20"/>
              </w:rPr>
            </w:pPr>
            <w:r>
              <w:rPr>
                <w:sz w:val="20"/>
              </w:rPr>
              <w:t>it is expressly resolved at such meeting not to fill such vacated offices; or</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230"/>
        <w:gridCol w:w="7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(c)</w:t>
            </w:r>
          </w:p>
        </w:tc>
        <w:tc>
          <w:tcPr>
            <w:tcW w:w="7430" w:type="dxa"/>
            <w:tcBorders/>
            <w:vAlign w:val="center"/>
          </w:tcPr>
          <w:p>
            <w:pPr>
              <w:pStyle w:val="TableContents"/>
              <w:bidi w:val="0"/>
              <w:spacing w:before="0" w:after="283"/>
              <w:jc w:val="both"/>
              <w:rPr>
                <w:sz w:val="20"/>
              </w:rPr>
            </w:pPr>
            <w:r>
              <w:rPr>
                <w:sz w:val="20"/>
              </w:rPr>
              <w:t>in any such case the resolution for re-election of a Director is put to the meeting and lost; or</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245"/>
        <w:gridCol w:w="77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7745" w:type="dxa"/>
            <w:tcBorders/>
            <w:vAlign w:val="center"/>
          </w:tcPr>
          <w:p>
            <w:pPr>
              <w:pStyle w:val="TableContents"/>
              <w:bidi w:val="0"/>
              <w:spacing w:before="0" w:after="283"/>
              <w:jc w:val="both"/>
              <w:rPr>
                <w:sz w:val="20"/>
              </w:rPr>
            </w:pPr>
            <w:r>
              <w:rPr>
                <w:sz w:val="20"/>
              </w:rPr>
              <w:t>such Director has given notice in writing to the Company that he is not willing to be re-elected.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sz w:val="20"/>
              </w:rPr>
            </w:pPr>
            <w:r>
              <w:rPr>
                <w:sz w:val="20"/>
              </w:rPr>
              <w:t>122.</w:t>
            </w:r>
          </w:p>
        </w:tc>
        <w:tc>
          <w:tcPr>
            <w:tcW w:w="9834" w:type="dxa"/>
            <w:tcBorders/>
            <w:vAlign w:val="center"/>
          </w:tcPr>
          <w:p>
            <w:pPr>
              <w:pStyle w:val="TableContents"/>
              <w:bidi w:val="0"/>
              <w:spacing w:before="0" w:after="283"/>
              <w:jc w:val="both"/>
              <w:rPr>
                <w:sz w:val="20"/>
              </w:rPr>
            </w:pPr>
            <w:r>
              <w:rPr>
                <w:sz w:val="20"/>
              </w:rPr>
              <w:t>The Company in general meeting may from time to time fix and may from time to time by Ordinary Resolution increase or reduce the maximum and minimum number of Directors but so that the number of Directors shall not be less than two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sz w:val="20"/>
              </w:rPr>
            </w:pPr>
            <w:r>
              <w:rPr>
                <w:sz w:val="20"/>
              </w:rPr>
              <w:t>123.</w:t>
            </w:r>
          </w:p>
        </w:tc>
        <w:tc>
          <w:tcPr>
            <w:tcW w:w="9836" w:type="dxa"/>
            <w:tcBorders/>
            <w:vAlign w:val="center"/>
          </w:tcPr>
          <w:p>
            <w:pPr>
              <w:pStyle w:val="TableContents"/>
              <w:bidi w:val="0"/>
              <w:spacing w:before="0" w:after="283"/>
              <w:jc w:val="both"/>
              <w:rPr>
                <w:sz w:val="20"/>
              </w:rPr>
            </w:pPr>
            <w:r>
              <w:rPr>
                <w:sz w:val="20"/>
              </w:rPr>
              <w:t>The Company may from time to time in general meeting by Ordinary Resolution elect any person to be a Director either to fill a casual vacancy or as an additional Director. Any Director so appointed shall be subject to retirement by rotation pursuant to Article 120.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124.</w:t>
            </w:r>
          </w:p>
        </w:tc>
        <w:tc>
          <w:tcPr>
            <w:tcW w:w="9850" w:type="dxa"/>
            <w:tcBorders/>
            <w:vAlign w:val="center"/>
          </w:tcPr>
          <w:p>
            <w:pPr>
              <w:pStyle w:val="TableContents"/>
              <w:bidi w:val="0"/>
              <w:spacing w:before="0" w:after="283"/>
              <w:jc w:val="both"/>
              <w:rPr>
                <w:sz w:val="20"/>
              </w:rPr>
            </w:pPr>
            <w:r>
              <w:rPr>
                <w:sz w:val="20"/>
              </w:rPr>
              <w:t>The Board shall have power from time to time and at any time to appoint any person as a Director either to fill a casual vacancy or as an additional Director but so that the number of Directors so appointed shall not exceed the maximum number determined from time to time by the Shareholders in general meeting. Any Director appointed by the Board to fill a casual vacancy shall hold office only until the first annual general meeting of the Company after his appointment and be subject to re-election at such meeting. Any Director appointed by the Board as an addition to the existing Board shall hold office only until the next annual general meeting of the Company after his appointment and shall then be eligible for re-election. Any Director appointed under this Article shall not be taken into account in determining the Directors or the number of Directors who are to retire by rotation at an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125.</w:t>
            </w:r>
          </w:p>
        </w:tc>
        <w:tc>
          <w:tcPr>
            <w:tcW w:w="9849" w:type="dxa"/>
            <w:tcBorders/>
            <w:vAlign w:val="center"/>
          </w:tcPr>
          <w:p>
            <w:pPr>
              <w:pStyle w:val="TableContents"/>
              <w:bidi w:val="0"/>
              <w:spacing w:before="0" w:after="283"/>
              <w:jc w:val="both"/>
              <w:rPr>
                <w:sz w:val="20"/>
              </w:rPr>
            </w:pPr>
            <w:r>
              <w:rPr>
                <w:sz w:val="20"/>
              </w:rPr>
              <w:t>No person, other than a retiring Director, shall, unless recommended by the Board for election, be eligible for election to the office of Director at any general meeting, unless notice in writing of the intention to propose that person for election as a Director and notice in writing by that person of his willingness to be elected shall have been lodged at the Head Office or at the Registration Office. The period for lodgement of the notices required under this Article will commence no earlier than the day after the despatch of the notice of the general meeting appointed for such election and end no later than seven days prior to the date of such general meeting and the minimum length of the period during which such notices to the Company may be given will be at least seven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sz w:val="20"/>
              </w:rPr>
            </w:pPr>
            <w:r>
              <w:rPr>
                <w:sz w:val="20"/>
              </w:rPr>
              <w:t>126.</w:t>
            </w:r>
          </w:p>
        </w:tc>
        <w:tc>
          <w:tcPr>
            <w:tcW w:w="9847" w:type="dxa"/>
            <w:tcBorders/>
            <w:vAlign w:val="center"/>
          </w:tcPr>
          <w:p>
            <w:pPr>
              <w:pStyle w:val="TableContents"/>
              <w:bidi w:val="0"/>
              <w:spacing w:before="0" w:after="283"/>
              <w:jc w:val="both"/>
              <w:rPr>
                <w:sz w:val="20"/>
              </w:rPr>
            </w:pPr>
            <w:r>
              <w:rPr>
                <w:sz w:val="20"/>
              </w:rPr>
              <w:t>The Shareholders may by Ordinary Resolution remove any Director (including a managing director or other executive director) before the expiration of his term of office notwithstanding anything in these Articles or in any agreement between the Company and such Director (but without prejudice to any claim which such Director may have for damages for any breach of any contract between him and the Company) and may by Ordinary Resolution elect another person in his stead. Any Director so appointed shall be subject to retirement by rotation pursuant to Article 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sz w:val="20"/>
              </w:rPr>
            </w:pPr>
            <w:r>
              <w:rPr>
                <w:sz w:val="20"/>
              </w:rPr>
              <w:t>127.</w:t>
            </w:r>
          </w:p>
        </w:tc>
        <w:tc>
          <w:tcPr>
            <w:tcW w:w="9838" w:type="dxa"/>
            <w:tcBorders/>
            <w:vAlign w:val="center"/>
          </w:tcPr>
          <w:p>
            <w:pPr>
              <w:pStyle w:val="TableContents"/>
              <w:bidi w:val="0"/>
              <w:spacing w:before="0" w:after="283"/>
              <w:jc w:val="both"/>
              <w:rPr>
                <w:sz w:val="20"/>
              </w:rPr>
            </w:pPr>
            <w:r>
              <w:rPr>
                <w:sz w:val="20"/>
              </w:rPr>
              <w:t>The Board may from time to time at its discretion exercise all the powers of the Company to raise or borrow or to secure the payment of any sum or sums of money for the purposes of the Company and to mortgage or charge its undertaking, property and uncalled capital or any part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128.</w:t>
            </w:r>
          </w:p>
        </w:tc>
        <w:tc>
          <w:tcPr>
            <w:tcW w:w="9844" w:type="dxa"/>
            <w:tcBorders/>
            <w:vAlign w:val="center"/>
          </w:tcPr>
          <w:p>
            <w:pPr>
              <w:pStyle w:val="TableContents"/>
              <w:bidi w:val="0"/>
              <w:spacing w:before="0" w:after="283"/>
              <w:jc w:val="both"/>
              <w:rPr>
                <w:sz w:val="20"/>
              </w:rPr>
            </w:pPr>
            <w:r>
              <w:rPr>
                <w:sz w:val="20"/>
              </w:rPr>
              <w:t>The Board may raise or secure the payment or repayment of such sum or sums in such manner and upon such terms and conditions in all respects as it thinks fit and in particular but subject to the provisions of the Companies Act, by the issue of debentures, debenture stock, bonds or other securities of the Company, whether outright or as collateral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sz w:val="20"/>
              </w:rPr>
            </w:pPr>
            <w:r>
              <w:rPr>
                <w:sz w:val="20"/>
              </w:rPr>
              <w:t>129.</w:t>
            </w:r>
          </w:p>
        </w:tc>
        <w:tc>
          <w:tcPr>
            <w:tcW w:w="9832" w:type="dxa"/>
            <w:tcBorders/>
            <w:vAlign w:val="center"/>
          </w:tcPr>
          <w:p>
            <w:pPr>
              <w:pStyle w:val="TableContents"/>
              <w:bidi w:val="0"/>
              <w:spacing w:before="0" w:after="283"/>
              <w:jc w:val="both"/>
              <w:rPr>
                <w:sz w:val="20"/>
              </w:rPr>
            </w:pPr>
            <w:r>
              <w:rPr>
                <w:sz w:val="20"/>
              </w:rPr>
              <w:t>Debentures, debenture stock, bonds and other securities (other than Shares which are not fully paid) may be made assignable free from any equities between the Company and the person to whom the same may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sz w:val="20"/>
              </w:rPr>
            </w:pPr>
            <w:r>
              <w:rPr>
                <w:sz w:val="20"/>
              </w:rPr>
              <w:t>130.</w:t>
            </w:r>
          </w:p>
        </w:tc>
        <w:tc>
          <w:tcPr>
            <w:tcW w:w="9841" w:type="dxa"/>
            <w:tcBorders/>
            <w:vAlign w:val="center"/>
          </w:tcPr>
          <w:p>
            <w:pPr>
              <w:pStyle w:val="TableContents"/>
              <w:bidi w:val="0"/>
              <w:spacing w:before="0" w:after="283"/>
              <w:jc w:val="both"/>
              <w:rPr>
                <w:sz w:val="20"/>
              </w:rPr>
            </w:pPr>
            <w:r>
              <w:rPr>
                <w:sz w:val="20"/>
              </w:rPr>
              <w:t>Any debentures, debenture stock, bonds or other securities (other than Shares) may be issued at a discount, premium or otherwise and with any special privileges as to redemption, surrender, drawings, allotment or subscription of or conversion into Shares, attending and voting at general meetings of the Company, appointment of Directors and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sz w:val="20"/>
              </w:rPr>
            </w:pPr>
            <w:r>
              <w:rPr>
                <w:sz w:val="20"/>
              </w:rPr>
              <w:t>131.</w:t>
            </w:r>
          </w:p>
        </w:tc>
        <w:tc>
          <w:tcPr>
            <w:tcW w:w="9841" w:type="dxa"/>
            <w:tcBorders/>
            <w:vAlign w:val="center"/>
          </w:tcPr>
          <w:p>
            <w:pPr>
              <w:pStyle w:val="TableContents"/>
              <w:bidi w:val="0"/>
              <w:spacing w:before="0" w:after="283"/>
              <w:jc w:val="both"/>
              <w:rPr>
                <w:sz w:val="20"/>
              </w:rPr>
            </w:pPr>
            <w:r>
              <w:rPr>
                <w:sz w:val="20"/>
              </w:rPr>
              <w:t>The Directors shall cause a proper register to be kept, in accordance with the provisions of the Companies Act, of all mortgages and charges specifically affecting the property of the Company and shall duly comply with such provisions of the Companies Act with regard to the registration of mortgages and charges as may be specified or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sz w:val="20"/>
              </w:rPr>
            </w:pPr>
            <w:r>
              <w:rPr>
                <w:sz w:val="20"/>
              </w:rPr>
              <w:t>132.</w:t>
            </w:r>
          </w:p>
        </w:tc>
        <w:tc>
          <w:tcPr>
            <w:tcW w:w="9825" w:type="dxa"/>
            <w:tcBorders/>
            <w:vAlign w:val="center"/>
          </w:tcPr>
          <w:p>
            <w:pPr>
              <w:pStyle w:val="TableContents"/>
              <w:bidi w:val="0"/>
              <w:spacing w:before="0" w:after="283"/>
              <w:jc w:val="both"/>
              <w:rPr>
                <w:sz w:val="20"/>
              </w:rPr>
            </w:pPr>
            <w:r>
              <w:rPr>
                <w:sz w:val="20"/>
              </w:rPr>
              <w:t>If the Company issues a series of debentures or debenture stock not transferable by delivery, the Board shall cause a proper register to be kept of the holders of such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sz w:val="20"/>
              </w:rPr>
            </w:pPr>
            <w:r>
              <w:rPr>
                <w:sz w:val="20"/>
              </w:rPr>
              <w:t>133.</w:t>
            </w:r>
          </w:p>
        </w:tc>
        <w:tc>
          <w:tcPr>
            <w:tcW w:w="9836" w:type="dxa"/>
            <w:tcBorders/>
            <w:vAlign w:val="center"/>
          </w:tcPr>
          <w:p>
            <w:pPr>
              <w:pStyle w:val="TableContents"/>
              <w:bidi w:val="0"/>
              <w:spacing w:before="0" w:after="283"/>
              <w:jc w:val="both"/>
              <w:rPr>
                <w:sz w:val="20"/>
              </w:rPr>
            </w:pPr>
            <w:r>
              <w:rPr>
                <w:sz w:val="20"/>
              </w:rPr>
              <w:t>Where any uncalled capital of the Company is charged, all persons taking any subsequent charge thereon shall take the same subject to such prior charge, and shall not be entitled, by notice to the Shareholders or otherwise, to obtain priority over such prior charge.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MANAGING DIRECTORS, ETC.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134.</w:t>
            </w:r>
          </w:p>
        </w:tc>
        <w:tc>
          <w:tcPr>
            <w:tcW w:w="9843" w:type="dxa"/>
            <w:tcBorders/>
            <w:vAlign w:val="center"/>
          </w:tcPr>
          <w:p>
            <w:pPr>
              <w:pStyle w:val="TableContents"/>
              <w:bidi w:val="0"/>
              <w:spacing w:before="0" w:after="283"/>
              <w:jc w:val="both"/>
              <w:rPr>
                <w:sz w:val="20"/>
              </w:rPr>
            </w:pPr>
            <w:r>
              <w:rPr>
                <w:sz w:val="20"/>
              </w:rPr>
              <w:t>The Board may from time to time appoint any one or more of them to the office of managing director, joint managing director, deputy managing director or other executive director and/ or such other office in the management of the business of the Company as it may decide for such period and upon such terms as it thinks fit and upon such terms as to remuneration as it may decide in accordance with Article 115.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sz w:val="20"/>
              </w:rPr>
            </w:pPr>
            <w:r>
              <w:rPr>
                <w:sz w:val="20"/>
              </w:rPr>
              <w:t>135.</w:t>
            </w:r>
          </w:p>
        </w:tc>
        <w:tc>
          <w:tcPr>
            <w:tcW w:w="9835" w:type="dxa"/>
            <w:tcBorders/>
            <w:vAlign w:val="center"/>
          </w:tcPr>
          <w:p>
            <w:pPr>
              <w:pStyle w:val="TableContents"/>
              <w:bidi w:val="0"/>
              <w:spacing w:before="0" w:after="283"/>
              <w:jc w:val="both"/>
              <w:rPr>
                <w:sz w:val="20"/>
              </w:rPr>
            </w:pPr>
            <w:r>
              <w:rPr>
                <w:sz w:val="20"/>
              </w:rPr>
              <w:t>Every Director appointed to an office under Article 134 hereof shall, but without prejudice to any claim for damages for breach of any contract of service between himself and the Company, be liable to be dismissed or removed therefrom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sz w:val="20"/>
              </w:rPr>
            </w:pPr>
            <w:r>
              <w:rPr>
                <w:sz w:val="20"/>
              </w:rPr>
              <w:t>136.</w:t>
            </w:r>
          </w:p>
        </w:tc>
        <w:tc>
          <w:tcPr>
            <w:tcW w:w="9838" w:type="dxa"/>
            <w:tcBorders/>
            <w:vAlign w:val="center"/>
          </w:tcPr>
          <w:p>
            <w:pPr>
              <w:pStyle w:val="TableContents"/>
              <w:bidi w:val="0"/>
              <w:spacing w:before="0" w:after="283"/>
              <w:jc w:val="both"/>
              <w:rPr>
                <w:sz w:val="20"/>
              </w:rPr>
            </w:pPr>
            <w:r>
              <w:rPr>
                <w:sz w:val="20"/>
              </w:rPr>
              <w:t>A Director appointed to an office under Article 134 shall be subject to the same provisions as to resignation and removal as the other Directors of the Company, and he shall ipso facto and immediately cease to hold such office if he shall cease to hold the office of Director for any cause.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sz w:val="20"/>
              </w:rPr>
            </w:pPr>
            <w:r>
              <w:rPr>
                <w:sz w:val="20"/>
              </w:rPr>
              <w:t>137.</w:t>
            </w:r>
          </w:p>
        </w:tc>
        <w:tc>
          <w:tcPr>
            <w:tcW w:w="9847" w:type="dxa"/>
            <w:tcBorders/>
            <w:vAlign w:val="center"/>
          </w:tcPr>
          <w:p>
            <w:pPr>
              <w:pStyle w:val="TableContents"/>
              <w:bidi w:val="0"/>
              <w:spacing w:before="0" w:after="283"/>
              <w:jc w:val="both"/>
              <w:rPr>
                <w:sz w:val="20"/>
              </w:rPr>
            </w:pPr>
            <w:r>
              <w:rPr>
                <w:sz w:val="20"/>
              </w:rPr>
              <w:t>The Board may from time to time entrust to and confer upon a chairman, vice chairman, managing director, joint managing director, deputy managing director or executive director all or any of the powers of the Board that it may think fit provided that the exercise of all powers by such Director shall be subject to such regulations and restrictions as the Board may from time to time make and impose, and, subject to the terms thereof, the said powers may at any time be withdrawn, revoked or varied, but no person dealing in good faith and without notice of such withdrawal, revocation or variation shall be 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sz w:val="20"/>
              </w:rPr>
            </w:pPr>
            <w:r>
              <w:rPr>
                <w:sz w:val="20"/>
              </w:rPr>
              <w:t>138.</w:t>
            </w:r>
          </w:p>
        </w:tc>
        <w:tc>
          <w:tcPr>
            <w:tcW w:w="9848" w:type="dxa"/>
            <w:tcBorders/>
            <w:vAlign w:val="center"/>
          </w:tcPr>
          <w:p>
            <w:pPr>
              <w:pStyle w:val="TableContents"/>
              <w:bidi w:val="0"/>
              <w:spacing w:before="0" w:after="283"/>
              <w:jc w:val="both"/>
              <w:rPr>
                <w:sz w:val="20"/>
              </w:rPr>
            </w:pPr>
            <w:r>
              <w:rPr>
                <w:sz w:val="20"/>
              </w:rPr>
              <w:t>The Board may from time to time appoint any person to an office or employment having a designation or title including the word “director” or attach to any existing office or employment with the Company such a designation or title. The inclusion of the word “director” in the designation or title of any office or employment with the Company (other than the office of managing director or joint managing director or deputy managing director or executive director) shall not imply that the holder thereof is a Director nor shall such holder be empowered in any respect to act as a Director or be deemed to be a Director for any of the purposes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139.</w:t>
            </w:r>
          </w:p>
        </w:tc>
        <w:tc>
          <w:tcPr>
            <w:tcW w:w="9849" w:type="dxa"/>
            <w:tcBorders/>
            <w:vAlign w:val="center"/>
          </w:tcPr>
          <w:p>
            <w:pPr>
              <w:pStyle w:val="TableContents"/>
              <w:bidi w:val="0"/>
              <w:spacing w:before="0" w:after="283"/>
              <w:jc w:val="both"/>
              <w:rPr>
                <w:sz w:val="20"/>
              </w:rPr>
            </w:pPr>
            <w:r>
              <w:rPr>
                <w:sz w:val="20"/>
              </w:rPr>
              <w:t>The business of the Company shall be managed by the Board who, in addition to the powers and authorities by these Articles expressly conferred upon it, may exercise all such powers and do all such acts and things as may be exercised or done or approved by the Company and are not hereby or by the Companies Act expressly directed or required to be exercised or done by the Company in general meeting, but subject nevertheless to the provisions of the Companies Act and of these Articles and to any regulations from time to time made by the Company in general meeting not being inconsistent with such provisions or these Articles, provided that no regulation so made shall invalidate any prior act of the Board which would have been valid if such regulation had not been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sz w:val="20"/>
              </w:rPr>
            </w:pPr>
            <w:r>
              <w:rPr>
                <w:sz w:val="20"/>
              </w:rPr>
              <w:t>140.</w:t>
            </w:r>
          </w:p>
        </w:tc>
        <w:tc>
          <w:tcPr>
            <w:tcW w:w="9819" w:type="dxa"/>
            <w:tcBorders/>
            <w:vAlign w:val="center"/>
          </w:tcPr>
          <w:p>
            <w:pPr>
              <w:pStyle w:val="TableContents"/>
              <w:bidi w:val="0"/>
              <w:spacing w:before="0" w:after="283"/>
              <w:jc w:val="both"/>
              <w:rPr>
                <w:sz w:val="20"/>
              </w:rPr>
            </w:pPr>
            <w:r>
              <w:rPr>
                <w:sz w:val="20"/>
              </w:rPr>
              <w:t>Without prejudice to the general powers conferred by these Articles, it is hereby expressly declared that the Board shall have the following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(a)</w:t>
            </w:r>
          </w:p>
        </w:tc>
        <w:tc>
          <w:tcPr>
            <w:tcW w:w="9924" w:type="dxa"/>
            <w:tcBorders/>
            <w:vAlign w:val="center"/>
          </w:tcPr>
          <w:p>
            <w:pPr>
              <w:pStyle w:val="TableContents"/>
              <w:bidi w:val="0"/>
              <w:spacing w:before="0" w:after="283"/>
              <w:jc w:val="both"/>
              <w:rPr>
                <w:sz w:val="20"/>
              </w:rPr>
            </w:pPr>
            <w:r>
              <w:rPr>
                <w:sz w:val="20"/>
              </w:rPr>
              <w:t>to give to any person the right or option of requiring at a future date that an allotment shall be made to him of any Share at par or at such premium and on such other terms as may be agreed;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(b)</w:t>
            </w:r>
          </w:p>
        </w:tc>
        <w:tc>
          <w:tcPr>
            <w:tcW w:w="9920" w:type="dxa"/>
            <w:tcBorders/>
            <w:vAlign w:val="center"/>
          </w:tcPr>
          <w:p>
            <w:pPr>
              <w:pStyle w:val="TableContents"/>
              <w:bidi w:val="0"/>
              <w:spacing w:before="0" w:after="283"/>
              <w:jc w:val="both"/>
              <w:rPr>
                <w:sz w:val="20"/>
              </w:rPr>
            </w:pPr>
            <w:r>
              <w:rPr>
                <w:sz w:val="20"/>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sz w:val="20"/>
              </w:rPr>
            </w:pPr>
            <w:r>
              <w:rPr>
                <w:sz w:val="20"/>
              </w:rPr>
              <w:t>141.</w:t>
            </w:r>
          </w:p>
        </w:tc>
        <w:tc>
          <w:tcPr>
            <w:tcW w:w="9845" w:type="dxa"/>
            <w:tcBorders/>
            <w:vAlign w:val="center"/>
          </w:tcPr>
          <w:p>
            <w:pPr>
              <w:pStyle w:val="TableContents"/>
              <w:bidi w:val="0"/>
              <w:spacing w:before="0" w:after="283"/>
              <w:jc w:val="both"/>
              <w:rPr>
                <w:sz w:val="20"/>
              </w:rPr>
            </w:pPr>
            <w:r>
              <w:rPr>
                <w:sz w:val="20"/>
              </w:rPr>
              <w:t>The Board may from time to time appoint a general manager, manager or managers of the business of the Company and may fix his or their remuneration either by way of salary or commission or by conferring the right to participation in the profits of the Company or by a combination of two or more of these modes and pay the working expenses of any of the staff of the general manager, manager or managers who may be employed by him or them upon the business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sz w:val="20"/>
              </w:rPr>
            </w:pPr>
            <w:r>
              <w:rPr>
                <w:sz w:val="20"/>
              </w:rPr>
              <w:t>142.</w:t>
            </w:r>
          </w:p>
        </w:tc>
        <w:tc>
          <w:tcPr>
            <w:tcW w:w="9834" w:type="dxa"/>
            <w:tcBorders/>
            <w:vAlign w:val="center"/>
          </w:tcPr>
          <w:p>
            <w:pPr>
              <w:pStyle w:val="TableContents"/>
              <w:bidi w:val="0"/>
              <w:spacing w:before="0" w:after="283"/>
              <w:jc w:val="both"/>
              <w:rPr>
                <w:sz w:val="20"/>
              </w:rPr>
            </w:pPr>
            <w:r>
              <w:rPr>
                <w:sz w:val="20"/>
              </w:rPr>
              <w:t>The appointment of such general manager, manager or managers may be for such period as the Board may decide and the Board may confer upon him or them all or any of the powers of the Board and such title or titles as it may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143.</w:t>
            </w:r>
          </w:p>
        </w:tc>
        <w:tc>
          <w:tcPr>
            <w:tcW w:w="9843" w:type="dxa"/>
            <w:tcBorders/>
            <w:vAlign w:val="center"/>
          </w:tcPr>
          <w:p>
            <w:pPr>
              <w:pStyle w:val="TableContents"/>
              <w:bidi w:val="0"/>
              <w:spacing w:before="0" w:after="283"/>
              <w:jc w:val="both"/>
              <w:rPr>
                <w:sz w:val="20"/>
              </w:rPr>
            </w:pPr>
            <w:r>
              <w:rPr>
                <w:sz w:val="20"/>
              </w:rPr>
              <w:t>The Board may enter into such agreement or agreements with any such general manager, manager or managers upon such terms and conditions in all respects as it may in its absolute discretion think fit, including a power for such general manager, manager or managers to appoint an assistant manager or managers or other employees whatsoever under them for the purpose of carrying on the business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OTHER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144.</w:t>
            </w:r>
          </w:p>
        </w:tc>
        <w:tc>
          <w:tcPr>
            <w:tcW w:w="9850" w:type="dxa"/>
            <w:tcBorders/>
            <w:vAlign w:val="center"/>
          </w:tcPr>
          <w:p>
            <w:pPr>
              <w:pStyle w:val="TableContents"/>
              <w:bidi w:val="0"/>
              <w:spacing w:before="0" w:after="283"/>
              <w:jc w:val="both"/>
              <w:rPr>
                <w:sz w:val="20"/>
              </w:rPr>
            </w:pPr>
            <w:r>
              <w:rPr>
                <w:sz w:val="20"/>
              </w:rPr>
              <w:t>The Board may from time to time elect or otherwise appoint one of them to the office of chairman of the Company and another to be the vice chairman of the Company (or two or more vice Chairmen) and determine the period for which each of them is to hold office. The chairman of the company or, in his absence, the vice chairman of the Company shall preside as chairman at meetings of the Board, but if no such chairman or vice chairman be elected or appointed, or if at any meeting the chairman or vice chairman is not present within five minutes after the time appointed for holding the same and willing to act, the Directors present shall choose one of their number to be chairman of such meeting. All the provisions of Articles 115, 120, 149, 150 and 151 shall mutatis mutandis apply to any Directors elected or otherwise appointed to any office in accordance with the provisions of this Article.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OF THE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145.</w:t>
            </w:r>
          </w:p>
        </w:tc>
        <w:tc>
          <w:tcPr>
            <w:tcW w:w="9850" w:type="dxa"/>
            <w:tcBorders/>
            <w:vAlign w:val="center"/>
          </w:tcPr>
          <w:p>
            <w:pPr>
              <w:pStyle w:val="TableContents"/>
              <w:bidi w:val="0"/>
              <w:spacing w:before="0" w:after="283"/>
              <w:jc w:val="both"/>
              <w:rPr>
                <w:sz w:val="20"/>
              </w:rPr>
            </w:pPr>
            <w:r>
              <w:rPr>
                <w:sz w:val="20"/>
              </w:rPr>
              <w:t>The Board may meet together for the despatch of business, adjourn and otherwise regulate its meetings and proceedings as it thinks fit and may determine the quorum necessary for the transaction of business. Unless otherwise determined two Directors shall be a quorum. For the purpose of this Article an alternate Director shall be counted in a quorum separately in respect of himself (if a Director) and in respect of each Director for whom he is an alternate and his voting rights shall be cumulative and he need not use all his votes or cast all his votes in the same way. A meeting of the Board or any committee of the Board may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sz w:val="20"/>
              </w:rPr>
            </w:pPr>
            <w:r>
              <w:rPr>
                <w:sz w:val="20"/>
              </w:rPr>
              <w:t>146.</w:t>
            </w:r>
          </w:p>
        </w:tc>
        <w:tc>
          <w:tcPr>
            <w:tcW w:w="9852" w:type="dxa"/>
            <w:tcBorders/>
            <w:vAlign w:val="center"/>
          </w:tcPr>
          <w:p>
            <w:pPr>
              <w:pStyle w:val="TableContents"/>
              <w:bidi w:val="0"/>
              <w:spacing w:before="0" w:after="283"/>
              <w:jc w:val="both"/>
              <w:rPr>
                <w:sz w:val="20"/>
              </w:rPr>
            </w:pPr>
            <w:r>
              <w:rPr>
                <w:sz w:val="20"/>
              </w:rPr>
              <w:t>A Director may, and on the request of a Director the Secretary shall, at any time summon a meeting of the Board which may be held in any part of the world, but no such meeting shall be summoned to be held outside the territory in which the Head Office is for the time being situate without the prior approval of the Board. Notice thereof shall be given to each Director and alternate Director in person orally or in writing or by telephone or by telex or telegram or facsimile transmission at the telephone or facsimile number or address from time to time notified to the Company by such Director or in such other manner as the Board may from time to time determine. A Director absent or intending to be absent from the territory in which the Head Office is for the time being situate may request the Board or the Secretary that notices of Board meetings shall during his absence be sent in writing to him at his last known address, facsimile or telex number or any other address, facsimile or telex number given by him to the Company for this purpose, but such notices need not be given any earlier than notices given to the other Directors not so absent and in the absence of any such request it shall not be necessary to give notice of a Board meeting to any Director who is for the time being absent from such territory.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sz w:val="20"/>
              </w:rPr>
            </w:pPr>
            <w:r>
              <w:rPr>
                <w:sz w:val="20"/>
              </w:rPr>
              <w:t>147.</w:t>
            </w:r>
          </w:p>
        </w:tc>
        <w:tc>
          <w:tcPr>
            <w:tcW w:w="9830" w:type="dxa"/>
            <w:tcBorders/>
            <w:vAlign w:val="center"/>
          </w:tcPr>
          <w:p>
            <w:pPr>
              <w:pStyle w:val="TableContents"/>
              <w:bidi w:val="0"/>
              <w:spacing w:before="0" w:after="283"/>
              <w:jc w:val="both"/>
              <w:rPr>
                <w:sz w:val="20"/>
              </w:rPr>
            </w:pPr>
            <w:r>
              <w:rPr>
                <w:sz w:val="20"/>
              </w:rPr>
              <w:t>Subject to Article 119, questions arising at any meeting of the Board shall be decided by a majority of votes, and in case of an equality of votes the chairman of the meeting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sz w:val="20"/>
              </w:rPr>
            </w:pPr>
            <w:r>
              <w:rPr>
                <w:sz w:val="20"/>
              </w:rPr>
              <w:t>148.</w:t>
            </w:r>
          </w:p>
        </w:tc>
        <w:tc>
          <w:tcPr>
            <w:tcW w:w="9834" w:type="dxa"/>
            <w:tcBorders/>
            <w:vAlign w:val="center"/>
          </w:tcPr>
          <w:p>
            <w:pPr>
              <w:pStyle w:val="TableContents"/>
              <w:bidi w:val="0"/>
              <w:spacing w:before="0" w:after="283"/>
              <w:jc w:val="both"/>
              <w:rPr>
                <w:sz w:val="20"/>
              </w:rPr>
            </w:pPr>
            <w:r>
              <w:rPr>
                <w:sz w:val="20"/>
              </w:rPr>
              <w:t>A meeting of the Board for the time being at which a quorum is present shall be competent to exercise all or any of the authorities, powers and discretions by or under these Articles for the time being vested in or exercisable by the Board generally.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sz w:val="20"/>
              </w:rPr>
            </w:pPr>
            <w:r>
              <w:rPr>
                <w:sz w:val="20"/>
              </w:rPr>
              <w:t>149.</w:t>
            </w:r>
          </w:p>
        </w:tc>
        <w:tc>
          <w:tcPr>
            <w:tcW w:w="9845" w:type="dxa"/>
            <w:tcBorders/>
            <w:vAlign w:val="center"/>
          </w:tcPr>
          <w:p>
            <w:pPr>
              <w:pStyle w:val="TableContents"/>
              <w:bidi w:val="0"/>
              <w:spacing w:before="0" w:after="283"/>
              <w:jc w:val="both"/>
              <w:rPr>
                <w:sz w:val="20"/>
              </w:rPr>
            </w:pPr>
            <w:r>
              <w:rPr>
                <w:sz w:val="20"/>
              </w:rPr>
              <w:t>The Board may delegate any of its powers to committees consisting of such member(s) of them and such other person(s) as it thinks fit, and it may from time to time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150.</w:t>
            </w:r>
          </w:p>
        </w:tc>
        <w:tc>
          <w:tcPr>
            <w:tcW w:w="9844" w:type="dxa"/>
            <w:tcBorders/>
            <w:vAlign w:val="center"/>
          </w:tcPr>
          <w:p>
            <w:pPr>
              <w:pStyle w:val="TableContents"/>
              <w:bidi w:val="0"/>
              <w:spacing w:before="0" w:after="283"/>
              <w:jc w:val="both"/>
              <w:rPr>
                <w:sz w:val="20"/>
              </w:rPr>
            </w:pPr>
            <w:r>
              <w:rPr>
                <w:sz w:val="20"/>
              </w:rPr>
              <w:t>All acts done by any such committee in conformity with such regulations and in fulfilment of the purposes for which it is appointed, but not otherwise, shall have the like force and effect as if done by the Board, and the Board shall have power, with the consent of the Company in general meeting, to remunerate the members of any special committee, and charge such remuneration to the current expenses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sz w:val="20"/>
              </w:rPr>
            </w:pPr>
            <w:r>
              <w:rPr>
                <w:sz w:val="20"/>
              </w:rPr>
              <w:t>151.</w:t>
            </w:r>
          </w:p>
        </w:tc>
        <w:tc>
          <w:tcPr>
            <w:tcW w:w="9840" w:type="dxa"/>
            <w:tcBorders/>
            <w:vAlign w:val="center"/>
          </w:tcPr>
          <w:p>
            <w:pPr>
              <w:pStyle w:val="TableContents"/>
              <w:bidi w:val="0"/>
              <w:spacing w:before="0" w:after="283"/>
              <w:jc w:val="both"/>
              <w:rPr>
                <w:sz w:val="20"/>
              </w:rPr>
            </w:pPr>
            <w:r>
              <w:rPr>
                <w:sz w:val="20"/>
              </w:rPr>
              <w:t>The meetings and proceedings of any such committee consisting of two or more members shall be governed by the provisions herein contained for regulating the meetings and proceedings of the Board so far as the same are applicable thereto and are not replaced by any regulations imposed by the Board pursuant to Article 149.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152.</w:t>
            </w:r>
          </w:p>
        </w:tc>
        <w:tc>
          <w:tcPr>
            <w:tcW w:w="9844" w:type="dxa"/>
            <w:tcBorders/>
            <w:vAlign w:val="center"/>
          </w:tcPr>
          <w:p>
            <w:pPr>
              <w:pStyle w:val="TableContents"/>
              <w:bidi w:val="0"/>
              <w:spacing w:before="0" w:after="283"/>
              <w:jc w:val="both"/>
              <w:rPr>
                <w:sz w:val="20"/>
              </w:rPr>
            </w:pPr>
            <w:r>
              <w:rPr>
                <w:sz w:val="20"/>
              </w:rPr>
              <w:t>All acts bona fide done by any meeting of the Board or by any such committee or by any person acting as a Director shall, notwithstanding that it shall be afterwards discovered that there was some defect in the appointment of such Director or persons acting as aforesaid or that they or any of them were disqualified, be as valid as if every such person had been duly appointed and was qualified to be a Director or member of such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153.</w:t>
            </w:r>
          </w:p>
        </w:tc>
        <w:tc>
          <w:tcPr>
            <w:tcW w:w="9844" w:type="dxa"/>
            <w:tcBorders/>
            <w:vAlign w:val="center"/>
          </w:tcPr>
          <w:p>
            <w:pPr>
              <w:pStyle w:val="TableContents"/>
              <w:bidi w:val="0"/>
              <w:spacing w:before="0" w:after="283"/>
              <w:jc w:val="both"/>
              <w:rPr>
                <w:sz w:val="20"/>
              </w:rPr>
            </w:pPr>
            <w:r>
              <w:rPr>
                <w:sz w:val="20"/>
              </w:rPr>
              <w:t>The continuing Directors may act notwithstanding any vacancy in their body, but, if and so long as their number is reduced below the number fixed by or pursuant to these Articles as the necessary quorum of the Board meeting, the continuing Director or Directors may act for the purpose of increasing the number of Directors to that number of the necessary quorum or of summoning a general meeting of the Company but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204"/>
        <w:gridCol w:w="9637"/>
      </w:tblGrid>
      <w:tr>
        <w:trPr/>
        <w:tc>
          <w:tcPr>
            <w:tcW w:w="364" w:type="dxa"/>
            <w:tcBorders/>
            <w:vAlign w:val="center"/>
          </w:tcPr>
          <w:p>
            <w:pPr>
              <w:pStyle w:val="TableContents"/>
              <w:bidi w:val="0"/>
              <w:spacing w:before="0" w:after="283"/>
              <w:jc w:val="left"/>
              <w:rPr>
                <w:sz w:val="20"/>
              </w:rPr>
            </w:pPr>
            <w:r>
              <w:rPr>
                <w:sz w:val="20"/>
              </w:rPr>
              <w:t>154.</w:t>
            </w:r>
          </w:p>
        </w:tc>
        <w:tc>
          <w:tcPr>
            <w:tcW w:w="204" w:type="dxa"/>
            <w:tcBorders/>
            <w:vAlign w:val="center"/>
          </w:tcPr>
          <w:p>
            <w:pPr>
              <w:pStyle w:val="TableContents"/>
              <w:bidi w:val="0"/>
              <w:spacing w:before="0" w:after="283"/>
              <w:jc w:val="both"/>
              <w:rPr>
                <w:sz w:val="20"/>
              </w:rPr>
            </w:pPr>
            <w:r>
              <w:rPr>
                <w:sz w:val="20"/>
              </w:rPr>
              <w:t xml:space="preserve">(a) </w:t>
            </w:r>
          </w:p>
        </w:tc>
        <w:tc>
          <w:tcPr>
            <w:tcW w:w="9637" w:type="dxa"/>
            <w:tcBorders/>
            <w:vAlign w:val="center"/>
          </w:tcPr>
          <w:p>
            <w:pPr>
              <w:pStyle w:val="TableContents"/>
              <w:bidi w:val="0"/>
              <w:spacing w:before="0" w:after="283"/>
              <w:jc w:val="both"/>
              <w:rPr>
                <w:sz w:val="20"/>
              </w:rPr>
            </w:pPr>
            <w:r>
              <w:rPr>
                <w:sz w:val="20"/>
              </w:rPr>
              <w:t>A resolution in writing signed by all the Directors (or their respective alternate Directors) shall be as valid and effectual as if it had been passed at a meeting of the Board duly convened and held. Any such resolutions in writing may consist of several documents in like form each signed by one or more of the Directors or alternate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(b)</w:t>
            </w:r>
          </w:p>
        </w:tc>
        <w:tc>
          <w:tcPr>
            <w:tcW w:w="9940" w:type="dxa"/>
            <w:tcBorders/>
            <w:vAlign w:val="center"/>
          </w:tcPr>
          <w:p>
            <w:pPr>
              <w:pStyle w:val="TableContents"/>
              <w:bidi w:val="0"/>
              <w:spacing w:before="0" w:after="283"/>
              <w:jc w:val="both"/>
              <w:rPr>
                <w:sz w:val="20"/>
              </w:rPr>
            </w:pPr>
            <w:r>
              <w:rPr>
                <w:sz w:val="20"/>
              </w:rPr>
              <w:t>Where a Director is, on the date on which a resolution in writing is last signed by a Director, absent from the territory in which the Head Office is for the time being situated, or cannot be contacted at his last known address or contact telephone or facsimile number, or is temporarily unable to act through ill-health or disability and, in each case, his alternate (if any) is affected by any of these events, the signature of such Director (or his alternate) to the resolution shall not be required, and the resolution in writing, so long as such a resolution shall have been signed by at least two Directors or their respective alternates who are entitled to vote thereon or such number of Directors as shall form a quorum, shall be deemed to have been passed at a meeting of the Board duly convened and held, provided that a copy of such resolution has been given or the contents thereof communicated to all the Directors (or their respective alternates) for the time being entitled to receive notices of meetings of the Board at their respective last known address, telephone or facsimile number or, if none, at the Head Office and provided further that no Director is aware of or has received from any Director any objection to the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(c)</w:t>
            </w:r>
          </w:p>
        </w:tc>
        <w:tc>
          <w:tcPr>
            <w:tcW w:w="9940" w:type="dxa"/>
            <w:tcBorders/>
            <w:vAlign w:val="center"/>
          </w:tcPr>
          <w:p>
            <w:pPr>
              <w:pStyle w:val="TableContents"/>
              <w:bidi w:val="0"/>
              <w:spacing w:before="0" w:after="283"/>
              <w:jc w:val="both"/>
              <w:rPr>
                <w:sz w:val="20"/>
              </w:rPr>
            </w:pPr>
            <w:r>
              <w:rPr>
                <w:sz w:val="20"/>
              </w:rPr>
              <w:t>A certificate signed by a Director (who may be one of the signatories to the relevant resolution in writing) or the Secretary as to any of the matters referred to in paragraph (a) or (b) of this Article shall in the absence of express notice to the contrary of the person relying thereon, be conclusive of the matters stated on such certificate.</w:t>
            </w:r>
          </w:p>
        </w:tc>
      </w:tr>
    </w:tbl>
    <w:p>
      <w:pPr>
        <w:pStyle w:val="TextBody"/>
        <w:bidi w:val="0"/>
        <w:spacing w:before="0" w:after="0"/>
        <w:ind w:left="1276" w:right="0" w:hanging="0"/>
        <w:jc w:val="left"/>
        <w:rPr>
          <w:caps w:val="false"/>
          <w:smallCaps w:val="false"/>
        </w:rPr>
      </w:pPr>
      <w:r>
        <w:rPr>
          <w:caps w:val="false"/>
          <w:smallCaps w:val="false"/>
        </w:rPr>
        <w:t> </w:t>
      </w:r>
    </w:p>
    <w:p>
      <w:pPr>
        <w:pStyle w:val="TextBody"/>
        <w:bidi w:val="0"/>
        <w:spacing w:before="0" w:after="0"/>
        <w:ind w:left="127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127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 AND CORPORATE RECORDS</w:t>
      </w:r>
    </w:p>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395"/>
        <w:gridCol w:w="275"/>
        <w:gridCol w:w="3710"/>
      </w:tblGrid>
      <w:tr>
        <w:trPr/>
        <w:tc>
          <w:tcPr>
            <w:tcW w:w="395" w:type="dxa"/>
            <w:tcBorders/>
            <w:vAlign w:val="center"/>
          </w:tcPr>
          <w:p>
            <w:pPr>
              <w:pStyle w:val="TableContents"/>
              <w:bidi w:val="0"/>
              <w:spacing w:before="0" w:after="283"/>
              <w:jc w:val="left"/>
              <w:rPr>
                <w:sz w:val="20"/>
              </w:rPr>
            </w:pPr>
            <w:r>
              <w:rPr>
                <w:sz w:val="20"/>
              </w:rPr>
              <w:t>155.</w:t>
            </w:r>
          </w:p>
        </w:tc>
        <w:tc>
          <w:tcPr>
            <w:tcW w:w="275" w:type="dxa"/>
            <w:tcBorders/>
            <w:vAlign w:val="center"/>
          </w:tcPr>
          <w:p>
            <w:pPr>
              <w:pStyle w:val="TableContents"/>
              <w:bidi w:val="0"/>
              <w:spacing w:before="0" w:after="283"/>
              <w:jc w:val="left"/>
              <w:rPr>
                <w:sz w:val="20"/>
              </w:rPr>
            </w:pPr>
            <w:r>
              <w:rPr>
                <w:sz w:val="20"/>
              </w:rPr>
              <w:t xml:space="preserve">(a) </w:t>
            </w:r>
          </w:p>
        </w:tc>
        <w:tc>
          <w:tcPr>
            <w:tcW w:w="3710" w:type="dxa"/>
            <w:tcBorders/>
            <w:vAlign w:val="center"/>
          </w:tcPr>
          <w:p>
            <w:pPr>
              <w:pStyle w:val="TableContents"/>
              <w:bidi w:val="0"/>
              <w:spacing w:before="0" w:after="283"/>
              <w:jc w:val="left"/>
              <w:rPr>
                <w:sz w:val="20"/>
              </w:rPr>
            </w:pPr>
            <w:r>
              <w:rPr>
                <w:sz w:val="20"/>
              </w:rPr>
              <w:t>The Board shall cause minutes to be made of:</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200"/>
        <w:gridCol w:w="3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3215" w:type="dxa"/>
            <w:tcBorders/>
            <w:vAlign w:val="center"/>
          </w:tcPr>
          <w:p>
            <w:pPr>
              <w:pStyle w:val="TableContents"/>
              <w:bidi w:val="0"/>
              <w:spacing w:before="0" w:after="283"/>
              <w:jc w:val="left"/>
              <w:rPr>
                <w:sz w:val="20"/>
              </w:rPr>
            </w:pPr>
            <w:r>
              <w:rPr>
                <w:sz w:val="20"/>
              </w:rPr>
              <w:t>all appointments of officers made by it;</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60"/>
        <w:gridCol w:w="98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9860" w:type="dxa"/>
            <w:tcBorders/>
            <w:vAlign w:val="center"/>
          </w:tcPr>
          <w:p>
            <w:pPr>
              <w:pStyle w:val="TableContents"/>
              <w:bidi w:val="0"/>
              <w:spacing w:before="0" w:after="283"/>
              <w:jc w:val="both"/>
              <w:rPr>
                <w:sz w:val="20"/>
              </w:rPr>
            </w:pPr>
            <w:r>
              <w:rPr>
                <w:sz w:val="20"/>
              </w:rPr>
              <w:t>the names of the Directors present at each meeting of the Board and of committees appointed pursuant to Article 149;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320"/>
        <w:gridCol w:w="85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(iii)</w:t>
            </w:r>
          </w:p>
        </w:tc>
        <w:tc>
          <w:tcPr>
            <w:tcW w:w="8540" w:type="dxa"/>
            <w:tcBorders/>
            <w:vAlign w:val="center"/>
          </w:tcPr>
          <w:p>
            <w:pPr>
              <w:pStyle w:val="TableContents"/>
              <w:bidi w:val="0"/>
              <w:spacing w:before="0" w:after="283"/>
              <w:jc w:val="both"/>
              <w:rPr>
                <w:sz w:val="20"/>
              </w:rPr>
            </w:pPr>
            <w:r>
              <w:rPr>
                <w:sz w:val="20"/>
              </w:rPr>
              <w:t>all resolutions and proceedings at all meetings of the Company and of the Board and of such committees.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(b)</w:t>
            </w:r>
          </w:p>
        </w:tc>
        <w:tc>
          <w:tcPr>
            <w:tcW w:w="9914" w:type="dxa"/>
            <w:tcBorders/>
            <w:vAlign w:val="center"/>
          </w:tcPr>
          <w:p>
            <w:pPr>
              <w:pStyle w:val="TableContents"/>
              <w:bidi w:val="0"/>
              <w:spacing w:before="0" w:after="283"/>
              <w:jc w:val="both"/>
              <w:rPr>
                <w:sz w:val="20"/>
              </w:rPr>
            </w:pPr>
            <w:r>
              <w:rPr>
                <w:sz w:val="20"/>
              </w:rPr>
              <w:t>Any such minutes shall be conclusive evidence of any such proceedings if they purport to be signed by the chairman of the meeting at which the proceedings were held or by the chairman of the next succeeding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SECRETARY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sz w:val="20"/>
              </w:rPr>
            </w:pPr>
            <w:r>
              <w:rPr>
                <w:sz w:val="20"/>
              </w:rPr>
              <w:t>156.</w:t>
            </w:r>
          </w:p>
        </w:tc>
        <w:tc>
          <w:tcPr>
            <w:tcW w:w="9848" w:type="dxa"/>
            <w:tcBorders/>
            <w:vAlign w:val="center"/>
          </w:tcPr>
          <w:p>
            <w:pPr>
              <w:pStyle w:val="TableContents"/>
              <w:bidi w:val="0"/>
              <w:spacing w:before="0" w:after="283"/>
              <w:jc w:val="both"/>
              <w:rPr>
                <w:sz w:val="20"/>
              </w:rPr>
            </w:pPr>
            <w:r>
              <w:rPr>
                <w:sz w:val="20"/>
              </w:rPr>
              <w:t>The Secretary shall be appointed by the Board for such term, at such remuneration and upon such conditions as it may think fit, and any Secretary so appointed may, without prejudice to his right under any contract with the Company, be removed by the Board. Anything by the Companies Act or these Articles required or authorised to be done by or to the Secretary, if the office is vacant or there is for any other reason no Secretary capable of acting, may be done by or to any assistant or deputy Secretary, or if there is no assistant or deputy Secretary capable of acting, by or to any officer of the Company authorised generally or specifically on behalf of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sz w:val="20"/>
              </w:rPr>
            </w:pPr>
            <w:r>
              <w:rPr>
                <w:sz w:val="20"/>
              </w:rPr>
              <w:t>157.</w:t>
            </w:r>
          </w:p>
        </w:tc>
        <w:tc>
          <w:tcPr>
            <w:tcW w:w="9841" w:type="dxa"/>
            <w:tcBorders/>
            <w:vAlign w:val="center"/>
          </w:tcPr>
          <w:p>
            <w:pPr>
              <w:pStyle w:val="TableContents"/>
              <w:bidi w:val="0"/>
              <w:spacing w:before="0" w:after="283"/>
              <w:jc w:val="both"/>
              <w:rPr>
                <w:sz w:val="20"/>
              </w:rPr>
            </w:pPr>
            <w:r>
              <w:rPr>
                <w:sz w:val="20"/>
              </w:rPr>
              <w:t>The Secretary shall attend all meetings of the Shareholders and shall keep correct minutes of such meetings and enter the same in the proper books provided for the purpose. He shall perform such other duties as are prescribed by the Companies Act and these Articles, together with such other duties as may from time to time be prescribed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sz w:val="20"/>
              </w:rPr>
            </w:pPr>
            <w:r>
              <w:rPr>
                <w:sz w:val="20"/>
              </w:rPr>
              <w:t>158.</w:t>
            </w:r>
          </w:p>
        </w:tc>
        <w:tc>
          <w:tcPr>
            <w:tcW w:w="9835" w:type="dxa"/>
            <w:tcBorders/>
            <w:vAlign w:val="center"/>
          </w:tcPr>
          <w:p>
            <w:pPr>
              <w:pStyle w:val="TableContents"/>
              <w:bidi w:val="0"/>
              <w:spacing w:before="0" w:after="283"/>
              <w:jc w:val="both"/>
              <w:rPr>
                <w:sz w:val="20"/>
              </w:rPr>
            </w:pPr>
            <w:r>
              <w:rPr>
                <w:sz w:val="20"/>
              </w:rPr>
              <w:t>A provision of the Companies Act or of these Articles requiring or authorising a thing to be done by or to a Director and the Secretary shall not be satisfied by its being done by or to the same person acting both as Director and as, or in place of the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MANAGEMENT AND USE OF THE SEAL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190"/>
        <w:gridCol w:w="9650"/>
      </w:tblGrid>
      <w:tr>
        <w:trPr/>
        <w:tc>
          <w:tcPr>
            <w:tcW w:w="365" w:type="dxa"/>
            <w:tcBorders/>
            <w:vAlign w:val="center"/>
          </w:tcPr>
          <w:p>
            <w:pPr>
              <w:pStyle w:val="TableContents"/>
              <w:bidi w:val="0"/>
              <w:spacing w:before="0" w:after="283"/>
              <w:jc w:val="left"/>
              <w:rPr>
                <w:sz w:val="20"/>
              </w:rPr>
            </w:pPr>
            <w:r>
              <w:rPr>
                <w:sz w:val="20"/>
              </w:rPr>
              <w:t>159.</w:t>
            </w:r>
          </w:p>
        </w:tc>
        <w:tc>
          <w:tcPr>
            <w:tcW w:w="190" w:type="dxa"/>
            <w:tcBorders/>
            <w:vAlign w:val="center"/>
          </w:tcPr>
          <w:p>
            <w:pPr>
              <w:pStyle w:val="TableContents"/>
              <w:bidi w:val="0"/>
              <w:spacing w:before="0" w:after="283"/>
              <w:jc w:val="both"/>
              <w:rPr>
                <w:sz w:val="20"/>
              </w:rPr>
            </w:pPr>
            <w:r>
              <w:rPr>
                <w:sz w:val="20"/>
              </w:rPr>
              <w:t>(a)</w:t>
            </w:r>
          </w:p>
        </w:tc>
        <w:tc>
          <w:tcPr>
            <w:tcW w:w="9650" w:type="dxa"/>
            <w:tcBorders/>
            <w:vAlign w:val="center"/>
          </w:tcPr>
          <w:p>
            <w:pPr>
              <w:pStyle w:val="TableContents"/>
              <w:bidi w:val="0"/>
              <w:spacing w:before="0" w:after="283"/>
              <w:jc w:val="both"/>
              <w:rPr>
                <w:sz w:val="20"/>
              </w:rPr>
            </w:pPr>
            <w:r>
              <w:rPr>
                <w:sz w:val="20"/>
              </w:rPr>
              <w:t>Subject to the Companies Act, the Company shall have one or more Seals as the Board may determine, and may have a Seal for use outside the Cayman Islands. The Board shall provide for the safe custody of each Seal, and no Seal shall be used without the authority of the Board or a committee authorised by the Board in that behalf.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(b)</w:t>
            </w:r>
          </w:p>
        </w:tc>
        <w:tc>
          <w:tcPr>
            <w:tcW w:w="9935" w:type="dxa"/>
            <w:tcBorders/>
            <w:vAlign w:val="center"/>
          </w:tcPr>
          <w:p>
            <w:pPr>
              <w:pStyle w:val="TableContents"/>
              <w:bidi w:val="0"/>
              <w:spacing w:before="0" w:after="283"/>
              <w:jc w:val="both"/>
              <w:rPr>
                <w:sz w:val="20"/>
              </w:rPr>
            </w:pPr>
            <w:r>
              <w:rPr>
                <w:sz w:val="20"/>
              </w:rPr>
              <w:t>Every instrument to which a Seal shall be affixed shall be signed autographically by one Director and the Secretary, or by two Directors, or by any person or persons (including a Director and/or the Secretary) appointed by the Board for the purpose, provided that as regards any certificates for Shares or Debentures or other securities of the Company, the Board may by resolution determine that such signatures or either of them shall be dispensed with or affixed by some method or system of mechanical signature other than autographic or may be printed thereon as specified in such resolution or that such certificates need not be signed by any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sz w:val="20"/>
              </w:rPr>
            </w:pPr>
            <w:r>
              <w:rPr>
                <w:sz w:val="20"/>
              </w:rPr>
              <w:t>(c)</w:t>
            </w:r>
          </w:p>
        </w:tc>
        <w:tc>
          <w:tcPr>
            <w:tcW w:w="9952" w:type="dxa"/>
            <w:tcBorders/>
            <w:vAlign w:val="center"/>
          </w:tcPr>
          <w:p>
            <w:pPr>
              <w:pStyle w:val="TableContents"/>
              <w:bidi w:val="0"/>
              <w:spacing w:before="0" w:after="283"/>
              <w:jc w:val="both"/>
              <w:rPr>
                <w:sz w:val="20"/>
              </w:rPr>
            </w:pPr>
            <w:r>
              <w:rPr>
                <w:sz w:val="20"/>
              </w:rPr>
              <w:t>The Company may have a Securities Seal for use for sealing certificates for shares or other securities issued by the Company and no signature of any Director, officer or other person and no mechanical reproduction thereof shall be required on any such certificates or other document and any such certificates or other document to which such Securities Seal is affixed shall be valid and deemed to have been sealed and executed with the authority of the Board notwithstanding the absence of any such signature or mechanical reproduction as aforesaid. The Board may by resolution determine that the affixation of Securities Seal on certificates for shares or other securities issued by the Company be dispensed with or be affixed by printing the image of the Securities Seal on such certificates.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160.</w:t>
            </w:r>
          </w:p>
        </w:tc>
        <w:tc>
          <w:tcPr>
            <w:tcW w:w="9844" w:type="dxa"/>
            <w:tcBorders/>
            <w:vAlign w:val="center"/>
          </w:tcPr>
          <w:p>
            <w:pPr>
              <w:pStyle w:val="TableContents"/>
              <w:bidi w:val="0"/>
              <w:spacing w:before="0" w:after="283"/>
              <w:jc w:val="both"/>
              <w:rPr>
                <w:sz w:val="20"/>
              </w:rPr>
            </w:pPr>
            <w:r>
              <w:rPr>
                <w:sz w:val="20"/>
              </w:rPr>
              <w:t>All cheques, promissory notes, drafts, bills of exchange and other negotiable instruments,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178"/>
        <w:gridCol w:w="9671"/>
      </w:tblGrid>
      <w:tr>
        <w:trPr/>
        <w:tc>
          <w:tcPr>
            <w:tcW w:w="356" w:type="dxa"/>
            <w:tcBorders/>
            <w:vAlign w:val="center"/>
          </w:tcPr>
          <w:p>
            <w:pPr>
              <w:pStyle w:val="TableContents"/>
              <w:bidi w:val="0"/>
              <w:spacing w:before="0" w:after="283"/>
              <w:jc w:val="left"/>
              <w:rPr>
                <w:sz w:val="20"/>
              </w:rPr>
            </w:pPr>
            <w:r>
              <w:rPr>
                <w:sz w:val="20"/>
              </w:rPr>
              <w:t>161.</w:t>
            </w:r>
          </w:p>
        </w:tc>
        <w:tc>
          <w:tcPr>
            <w:tcW w:w="178" w:type="dxa"/>
            <w:tcBorders/>
            <w:vAlign w:val="center"/>
          </w:tcPr>
          <w:p>
            <w:pPr>
              <w:pStyle w:val="TableContents"/>
              <w:bidi w:val="0"/>
              <w:spacing w:before="0" w:after="283"/>
              <w:jc w:val="both"/>
              <w:rPr>
                <w:sz w:val="20"/>
              </w:rPr>
            </w:pPr>
            <w:r>
              <w:rPr>
                <w:sz w:val="20"/>
              </w:rPr>
              <w:t>(a)</w:t>
            </w:r>
          </w:p>
        </w:tc>
        <w:tc>
          <w:tcPr>
            <w:tcW w:w="9671" w:type="dxa"/>
            <w:tcBorders/>
            <w:vAlign w:val="center"/>
          </w:tcPr>
          <w:p>
            <w:pPr>
              <w:pStyle w:val="TableContents"/>
              <w:bidi w:val="0"/>
              <w:spacing w:before="0" w:after="283"/>
              <w:jc w:val="both"/>
              <w:rPr>
                <w:sz w:val="20"/>
              </w:rPr>
            </w:pPr>
            <w:r>
              <w:rPr>
                <w:sz w:val="20"/>
              </w:rPr>
              <w:t>The Board may from time to time and at any time, by power of attorney under the Seal,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(b)</w:t>
            </w:r>
          </w:p>
        </w:tc>
        <w:tc>
          <w:tcPr>
            <w:tcW w:w="9930" w:type="dxa"/>
            <w:tcBorders/>
            <w:vAlign w:val="center"/>
          </w:tcPr>
          <w:p>
            <w:pPr>
              <w:pStyle w:val="TableContents"/>
              <w:bidi w:val="0"/>
              <w:spacing w:before="0" w:after="283"/>
              <w:jc w:val="both"/>
              <w:rPr>
                <w:sz w:val="20"/>
              </w:rPr>
            </w:pPr>
            <w:r>
              <w:rPr>
                <w:sz w:val="20"/>
              </w:rPr>
              <w:t>The Company may, by writing under its Seal, empower any person, either generally or in respect of any specified matter, as its attorney to execute deeds and instruments on its behalf and to enter into contracts and sign the same on its behalf and every deed signed by such attorney on behalf of the Company and under his seal shall bind the Company and have the same effect as if it were under the Seal duly affixed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162.</w:t>
            </w:r>
          </w:p>
        </w:tc>
        <w:tc>
          <w:tcPr>
            <w:tcW w:w="9851" w:type="dxa"/>
            <w:tcBorders/>
            <w:vAlign w:val="center"/>
          </w:tcPr>
          <w:p>
            <w:pPr>
              <w:pStyle w:val="TableContents"/>
              <w:bidi w:val="0"/>
              <w:spacing w:before="0" w:after="283"/>
              <w:jc w:val="both"/>
              <w:rPr>
                <w:sz w:val="20"/>
              </w:rPr>
            </w:pPr>
            <w:r>
              <w:rPr>
                <w:sz w:val="20"/>
              </w:rPr>
              <w:t>The Board may establish any committees, regional or local boards or agencies for managing any of the affairs of the Company, either in the Relevant Territory or elsewhere, and may appoint any persons to be members of such committees, regional or local boards or agencies and may fix their remuneration, and may delegate to any committee, regional or local board or agent any of the powers, authorities and discretions vested in the Board (other than its powers to make calls and forfeit Shares), with power to sub-delegate, and may authorise the members of any regional or local board or any of them to fill any vacancies therein and to act notwithstanding vacancies, and any such appointment or delegation may be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sz w:val="20"/>
              </w:rPr>
            </w:pPr>
            <w:r>
              <w:rPr>
                <w:sz w:val="20"/>
              </w:rPr>
              <w:t>163.</w:t>
            </w:r>
          </w:p>
        </w:tc>
        <w:tc>
          <w:tcPr>
            <w:tcW w:w="9853" w:type="dxa"/>
            <w:tcBorders/>
            <w:vAlign w:val="center"/>
          </w:tcPr>
          <w:p>
            <w:pPr>
              <w:pStyle w:val="TableContents"/>
              <w:bidi w:val="0"/>
              <w:spacing w:before="0" w:after="283"/>
              <w:jc w:val="both"/>
              <w:rPr>
                <w:sz w:val="20"/>
              </w:rPr>
            </w:pPr>
            <w:r>
              <w:rPr>
                <w:sz w:val="20"/>
              </w:rPr>
              <w:t>The Board may establish and maintain or procure the establishment and maintenance of any contributory or non-contributory pension or superannuation funds or personal pension plans for the benefit of, or give or procure the giving of donations, gratuities, pensions, allowances or emoluments to, any persons who are or were at any time in the employment or service of the Company, or of any company which is a subsidiary of the Company, or is allied or associated with the Company or with any such subsidiary company, or who are or were at any time directors or officers of the Company or of any such other company as aforesaid, and holding or who have held any salaried employment or office in the Company or such other company, and the spouses, widows, widowers, families and dependants of any such persons. The Board may also establish and subsidise or subscribe to any institutions, associations, clubs or funds calculated to be for the benefit of or to advance the interests and well-being of the Company or of any such other company as aforesaid or of any such persons as aforesaid, and may make payments for or towards the insurance of any such persons as aforesaid, and subscribe or guarantee money for charitable or benevolent objects or for any exhibition or for any public, general or useful object. The Board may do any of the matters aforesaid, either alone or in conjunction with any such other company as aforesaid. Any Director holding any such employment or office shall be entitled to participate in and retain for his own benefit any such donation, gratuity, pension, allowance or employment.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179"/>
        <w:gridCol w:w="9669"/>
      </w:tblGrid>
      <w:tr>
        <w:trPr/>
        <w:tc>
          <w:tcPr>
            <w:tcW w:w="357" w:type="dxa"/>
            <w:tcBorders/>
            <w:vAlign w:val="center"/>
          </w:tcPr>
          <w:p>
            <w:pPr>
              <w:pStyle w:val="TableContents"/>
              <w:bidi w:val="0"/>
              <w:spacing w:before="0" w:after="283"/>
              <w:jc w:val="left"/>
              <w:rPr>
                <w:sz w:val="20"/>
              </w:rPr>
            </w:pPr>
            <w:r>
              <w:rPr>
                <w:sz w:val="20"/>
              </w:rPr>
              <w:t>164.</w:t>
            </w:r>
          </w:p>
        </w:tc>
        <w:tc>
          <w:tcPr>
            <w:tcW w:w="179" w:type="dxa"/>
            <w:tcBorders/>
            <w:vAlign w:val="center"/>
          </w:tcPr>
          <w:p>
            <w:pPr>
              <w:pStyle w:val="TableContents"/>
              <w:bidi w:val="0"/>
              <w:spacing w:before="0" w:after="283"/>
              <w:jc w:val="both"/>
              <w:rPr>
                <w:sz w:val="20"/>
              </w:rPr>
            </w:pPr>
            <w:r>
              <w:rPr>
                <w:sz w:val="20"/>
              </w:rPr>
              <w:t>(a)</w:t>
            </w:r>
          </w:p>
        </w:tc>
        <w:tc>
          <w:tcPr>
            <w:tcW w:w="9669" w:type="dxa"/>
            <w:tcBorders/>
            <w:vAlign w:val="center"/>
          </w:tcPr>
          <w:p>
            <w:pPr>
              <w:pStyle w:val="TableContents"/>
              <w:bidi w:val="0"/>
              <w:spacing w:before="0" w:after="283"/>
              <w:jc w:val="both"/>
              <w:rPr>
                <w:sz w:val="20"/>
              </w:rPr>
            </w:pPr>
            <w:r>
              <w:rPr>
                <w:sz w:val="20"/>
              </w:rPr>
              <w:t>Any Director or the Secretary or other authorised officer of the Company shall have power to authenticate any documents affecting the constitution of the Company and any resolutions passed by the Company or the Board or any committee, and any books, records, documents and accounts relating to the business of the Company, and to certify copies thereof or extracts therefrom as true copies of extracts; and where any books, records, documents or accounts are elsewhere than at the Registered Office or the Head Office, the local manager or such other officer of the Company having the custody thereof shall be deemed to be the authorised officer of the Company as aforesaid.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20"/>
              </w:rPr>
            </w:pPr>
            <w:r>
              <w:rPr>
                <w:sz w:val="20"/>
              </w:rPr>
              <w:t>(b)</w:t>
            </w:r>
          </w:p>
        </w:tc>
        <w:tc>
          <w:tcPr>
            <w:tcW w:w="9939" w:type="dxa"/>
            <w:tcBorders/>
            <w:vAlign w:val="center"/>
          </w:tcPr>
          <w:p>
            <w:pPr>
              <w:pStyle w:val="TableContents"/>
              <w:bidi w:val="0"/>
              <w:spacing w:before="0" w:after="283"/>
              <w:jc w:val="both"/>
              <w:rPr>
                <w:sz w:val="20"/>
              </w:rPr>
            </w:pPr>
            <w:r>
              <w:rPr>
                <w:sz w:val="20"/>
              </w:rPr>
              <w:t>A document purporting to be a document so authenticated or a copy of a resolution, or an extract from the minutes of a meeting, of the Company or of the Board or any local board or committee, or of any books, records, documents or accounts or extracts therefrom as aforesaid, and which is certified as aforesaid, shall be conclusive evidence in favour of all persons dealing with the Company upon the faith thereof that the document authenticated (or, if this be authenticated as aforesaid, the matter so authenticated) is authentic or, as the case may be, that such resolution has been duly passed or, as the case may be, that any minute so extracted is a true and accurate record of proceedings at a duly constituted meeting or, as the case may be, that the copies of such books, records, documents or accounts were true copies of their originals or as the case may be, the extracts of such books, records, documents or accounts are true and accurate records of the books, records, documents or accounts from which they were extracted.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RESERVES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177"/>
        <w:gridCol w:w="9673"/>
      </w:tblGrid>
      <w:tr>
        <w:trPr/>
        <w:tc>
          <w:tcPr>
            <w:tcW w:w="355" w:type="dxa"/>
            <w:tcBorders/>
            <w:vAlign w:val="center"/>
          </w:tcPr>
          <w:p>
            <w:pPr>
              <w:pStyle w:val="TableContents"/>
              <w:bidi w:val="0"/>
              <w:spacing w:before="0" w:after="283"/>
              <w:jc w:val="left"/>
              <w:rPr>
                <w:sz w:val="20"/>
              </w:rPr>
            </w:pPr>
            <w:r>
              <w:rPr>
                <w:sz w:val="20"/>
              </w:rPr>
              <w:t>165.</w:t>
            </w:r>
          </w:p>
        </w:tc>
        <w:tc>
          <w:tcPr>
            <w:tcW w:w="177" w:type="dxa"/>
            <w:tcBorders/>
            <w:vAlign w:val="center"/>
          </w:tcPr>
          <w:p>
            <w:pPr>
              <w:pStyle w:val="TableContents"/>
              <w:bidi w:val="0"/>
              <w:spacing w:before="0" w:after="283"/>
              <w:jc w:val="both"/>
              <w:rPr>
                <w:sz w:val="20"/>
              </w:rPr>
            </w:pPr>
            <w:r>
              <w:rPr>
                <w:sz w:val="20"/>
              </w:rPr>
              <w:t>(a)</w:t>
            </w:r>
          </w:p>
        </w:tc>
        <w:tc>
          <w:tcPr>
            <w:tcW w:w="9673" w:type="dxa"/>
            <w:tcBorders/>
            <w:vAlign w:val="center"/>
          </w:tcPr>
          <w:p>
            <w:pPr>
              <w:pStyle w:val="TableContents"/>
              <w:bidi w:val="0"/>
              <w:spacing w:before="0" w:after="283"/>
              <w:jc w:val="both"/>
              <w:rPr>
                <w:sz w:val="20"/>
              </w:rPr>
            </w:pPr>
            <w:r>
              <w:rPr>
                <w:sz w:val="20"/>
              </w:rPr>
              <w:t>The Company in general meeting may, upon the recommendation of the Board, resolve to capitalise any sum standing to the credit of any of the Company’s reserve accounts which are available for distribution (including its share premium account and capital redemption reserve fund, subject to the Companies Act) and to appropriate such sums to the holders of Shares on the Register at the close of business on the date of the relevant resolution (or such other date as may be specified therein or determined as provided therein) in the proportions in which such sum would have been divisible amongst them had the same been a distribution of profits by way of Dividend and to apply such sum on their behalf in paying up in full unissued Shares for allotment and distribution credited as fully paid-up to and amongst them in the proportion aforesaid.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(b)</w:t>
            </w:r>
          </w:p>
        </w:tc>
        <w:tc>
          <w:tcPr>
            <w:tcW w:w="9942" w:type="dxa"/>
            <w:tcBorders/>
            <w:vAlign w:val="center"/>
          </w:tcPr>
          <w:p>
            <w:pPr>
              <w:pStyle w:val="TableContents"/>
              <w:bidi w:val="0"/>
              <w:spacing w:before="0" w:after="283"/>
              <w:jc w:val="both"/>
              <w:rPr>
                <w:sz w:val="20"/>
              </w:rPr>
            </w:pPr>
            <w:r>
              <w:rPr>
                <w:sz w:val="20"/>
              </w:rPr>
              <w:t>Subject to the Companies Act, whenever such a resolution as aforesaid shall have been passed, the Board shall make all appropriations and applications of the reserves or profits and undivided profits resolved to be capitalised thereby, and attend to all allotments and issues of fully paid Shares, debentures, or other securities and generally shall do all acts and things required to give effect thereto. For the purpose of giving effect to any resolution under this Article, the Board may settle any difficulty which may arise in regard to a capitalisation issue as it thinks fit, and in particular may disregard fractional entitlements or round the same up or down and may determine that cash payments shall be made to any Shareholders in lieu of fractional entitlements or that fractions of such value as the Board may determine may be disregarded in order to adjust the rights of all parties or that fractional entitlements shall be aggregated and sold and the benefit shall accrue to the Company rather than to the Shareholders concerned, and no Shareholders who are affected thereby shall be deemed to be, and they shall be deemed not to be, a separate class of Shareholders by reason only of the exercise of this power. The Board may authorise any person to enter on behalf of all Shareholders interested in a capitalisation issue any agreement with the Company or other(s) providing for such capitalisation and matters in connection therewith and any agreement made under such authority shall be effective and binding upon all concerned. Without limiting the generality of the foregoing, any such agreement may provide for the acceptance by such persons of the Shares, debentures or other securities to be allotted and distributed to them respectively in satisfaction of their claims in respect of the sum so capitalised.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(c)</w:t>
            </w:r>
          </w:p>
        </w:tc>
        <w:tc>
          <w:tcPr>
            <w:tcW w:w="9941" w:type="dxa"/>
            <w:tcBorders/>
            <w:vAlign w:val="center"/>
          </w:tcPr>
          <w:p>
            <w:pPr>
              <w:pStyle w:val="TableContents"/>
              <w:bidi w:val="0"/>
              <w:spacing w:before="0" w:after="283"/>
              <w:jc w:val="both"/>
              <w:rPr>
                <w:sz w:val="20"/>
              </w:rPr>
            </w:pPr>
            <w:r>
              <w:rPr>
                <w:sz w:val="20"/>
              </w:rPr>
              <w:t>The provisions of paragraph (e) of Article 172 shall apply to the power of the Company to capitalise under this Article as it applies to the grant of election thereunder mutatis mutandis and no Shareholder who may be affected thereby shall be, and they shall be deemed not to be, a separate class of Shareholders by reason only of the exercise of this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RESERVES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
        <w:gridCol w:w="9829"/>
      </w:tblGrid>
      <w:tr>
        <w:trPr/>
        <w:tc>
          <w:tcPr>
            <w:tcW w:w="376" w:type="dxa"/>
            <w:tcBorders/>
            <w:vAlign w:val="center"/>
          </w:tcPr>
          <w:p>
            <w:pPr>
              <w:pStyle w:val="TableContents"/>
              <w:bidi w:val="0"/>
              <w:spacing w:before="0" w:after="283"/>
              <w:jc w:val="left"/>
              <w:rPr>
                <w:sz w:val="20"/>
              </w:rPr>
            </w:pPr>
            <w:r>
              <w:rPr>
                <w:sz w:val="20"/>
              </w:rPr>
              <w:t>166.</w:t>
            </w:r>
          </w:p>
        </w:tc>
        <w:tc>
          <w:tcPr>
            <w:tcW w:w="9829" w:type="dxa"/>
            <w:tcBorders/>
            <w:vAlign w:val="center"/>
          </w:tcPr>
          <w:p>
            <w:pPr>
              <w:pStyle w:val="TableContents"/>
              <w:bidi w:val="0"/>
              <w:spacing w:before="0" w:after="283"/>
              <w:jc w:val="both"/>
              <w:rPr>
                <w:sz w:val="20"/>
              </w:rPr>
            </w:pPr>
            <w:r>
              <w:rPr>
                <w:sz w:val="20"/>
              </w:rPr>
              <w:t>Subject to the Companies Act and these Articles, the Company in general meeting may declare Dividends in any currency but no Dividends shall exceed the amount recommended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182"/>
        <w:gridCol w:w="9668"/>
      </w:tblGrid>
      <w:tr>
        <w:trPr/>
        <w:tc>
          <w:tcPr>
            <w:tcW w:w="355" w:type="dxa"/>
            <w:tcBorders/>
            <w:vAlign w:val="center"/>
          </w:tcPr>
          <w:p>
            <w:pPr>
              <w:pStyle w:val="TableContents"/>
              <w:bidi w:val="0"/>
              <w:spacing w:before="0" w:after="283"/>
              <w:jc w:val="left"/>
              <w:rPr>
                <w:sz w:val="20"/>
              </w:rPr>
            </w:pPr>
            <w:r>
              <w:rPr>
                <w:sz w:val="20"/>
              </w:rPr>
              <w:t>167.</w:t>
            </w:r>
          </w:p>
        </w:tc>
        <w:tc>
          <w:tcPr>
            <w:tcW w:w="182" w:type="dxa"/>
            <w:tcBorders/>
            <w:vAlign w:val="center"/>
          </w:tcPr>
          <w:p>
            <w:pPr>
              <w:pStyle w:val="TableContents"/>
              <w:bidi w:val="0"/>
              <w:spacing w:before="0" w:after="283"/>
              <w:jc w:val="both"/>
              <w:rPr>
                <w:sz w:val="20"/>
              </w:rPr>
            </w:pPr>
            <w:r>
              <w:rPr>
                <w:sz w:val="20"/>
              </w:rPr>
              <w:t xml:space="preserve">(a) </w:t>
            </w:r>
          </w:p>
        </w:tc>
        <w:tc>
          <w:tcPr>
            <w:tcW w:w="9668" w:type="dxa"/>
            <w:tcBorders/>
            <w:vAlign w:val="center"/>
          </w:tcPr>
          <w:p>
            <w:pPr>
              <w:pStyle w:val="TableContents"/>
              <w:bidi w:val="0"/>
              <w:spacing w:before="0" w:after="283"/>
              <w:jc w:val="both"/>
              <w:rPr>
                <w:sz w:val="20"/>
              </w:rPr>
            </w:pPr>
            <w:r>
              <w:rPr>
                <w:sz w:val="20"/>
              </w:rPr>
              <w:t>The Board may subject to Article 168 from time to time pay to the Shareholders such interim Dividends as appear to the Board to be justified by the financial conditions and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to the holders thereof deferred or non-preferential rights as well as in respect of those Shares which confer on the holders thereof preferential rights with regard to Dividend and provided that the Board acts bona fide it shall not incur any responsibility to the holders of Shares conferring any preference for any damage that they may suffer by reason of the payment of an interim Dividend on any Shares having deferred or non-preferential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sz w:val="20"/>
              </w:rPr>
            </w:pPr>
            <w:r>
              <w:rPr>
                <w:sz w:val="20"/>
              </w:rPr>
              <w:t>(b)</w:t>
            </w:r>
          </w:p>
        </w:tc>
        <w:tc>
          <w:tcPr>
            <w:tcW w:w="9917" w:type="dxa"/>
            <w:tcBorders/>
            <w:vAlign w:val="center"/>
          </w:tcPr>
          <w:p>
            <w:pPr>
              <w:pStyle w:val="TableContents"/>
              <w:bidi w:val="0"/>
              <w:spacing w:before="0" w:after="283"/>
              <w:jc w:val="both"/>
              <w:rPr>
                <w:sz w:val="20"/>
              </w:rPr>
            </w:pPr>
            <w:r>
              <w:rPr>
                <w:sz w:val="20"/>
              </w:rPr>
              <w:t>The Board may also pay half-yearly or at other suitable intervals to be settled by it any Dividend which may be payable at a fixed rate if the Board is of the opinion that the financial conditions and the profits of the Company justify the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(c)</w:t>
            </w:r>
          </w:p>
        </w:tc>
        <w:tc>
          <w:tcPr>
            <w:tcW w:w="9945" w:type="dxa"/>
            <w:tcBorders/>
            <w:vAlign w:val="center"/>
          </w:tcPr>
          <w:p>
            <w:pPr>
              <w:pStyle w:val="TableContents"/>
              <w:bidi w:val="0"/>
              <w:spacing w:before="0" w:after="283"/>
              <w:jc w:val="both"/>
              <w:rPr>
                <w:sz w:val="20"/>
              </w:rPr>
            </w:pPr>
            <w:r>
              <w:rPr>
                <w:sz w:val="20"/>
              </w:rPr>
              <w:t>The Board may in addition from time to time declare and pay special Dividends of such amounts and on such dates and out of such distributable funds of the Company as it thinks fit, and the provisions of paragraph (a) of this Article as regards the power and exemption from liability of the Board as relate to the declaration and payment of interim Dividends shall apply, mutatis mutandis, to the declaration and payment of any such special Dividends.</w:t>
            </w:r>
          </w:p>
        </w:tc>
      </w:tr>
    </w:tbl>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395"/>
        <w:gridCol w:w="275"/>
        <w:gridCol w:w="8915"/>
      </w:tblGrid>
      <w:tr>
        <w:trPr/>
        <w:tc>
          <w:tcPr>
            <w:tcW w:w="395" w:type="dxa"/>
            <w:tcBorders/>
            <w:vAlign w:val="center"/>
          </w:tcPr>
          <w:p>
            <w:pPr>
              <w:pStyle w:val="TableContents"/>
              <w:bidi w:val="0"/>
              <w:spacing w:before="0" w:after="283"/>
              <w:jc w:val="left"/>
              <w:rPr>
                <w:sz w:val="20"/>
              </w:rPr>
            </w:pPr>
            <w:r>
              <w:rPr>
                <w:sz w:val="20"/>
              </w:rPr>
              <w:t>168.</w:t>
            </w:r>
          </w:p>
        </w:tc>
        <w:tc>
          <w:tcPr>
            <w:tcW w:w="275" w:type="dxa"/>
            <w:tcBorders/>
            <w:vAlign w:val="center"/>
          </w:tcPr>
          <w:p>
            <w:pPr>
              <w:pStyle w:val="TableContents"/>
              <w:bidi w:val="0"/>
              <w:spacing w:before="0" w:after="283"/>
              <w:jc w:val="left"/>
              <w:rPr>
                <w:sz w:val="20"/>
              </w:rPr>
            </w:pPr>
            <w:r>
              <w:rPr>
                <w:sz w:val="20"/>
              </w:rPr>
              <w:t xml:space="preserve">(a) </w:t>
            </w:r>
          </w:p>
        </w:tc>
        <w:tc>
          <w:tcPr>
            <w:tcW w:w="8915" w:type="dxa"/>
            <w:tcBorders/>
            <w:vAlign w:val="center"/>
          </w:tcPr>
          <w:p>
            <w:pPr>
              <w:pStyle w:val="TableContents"/>
              <w:bidi w:val="0"/>
              <w:spacing w:before="0" w:after="283"/>
              <w:jc w:val="left"/>
              <w:rPr>
                <w:sz w:val="20"/>
              </w:rPr>
            </w:pPr>
            <w:r>
              <w:rPr>
                <w:sz w:val="20"/>
              </w:rPr>
              <w:t>No Dividend shall be declared or paid or shall be made otherwise than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(b)</w:t>
            </w:r>
          </w:p>
        </w:tc>
        <w:tc>
          <w:tcPr>
            <w:tcW w:w="9938" w:type="dxa"/>
            <w:tcBorders/>
            <w:vAlign w:val="center"/>
          </w:tcPr>
          <w:p>
            <w:pPr>
              <w:pStyle w:val="TableContents"/>
              <w:bidi w:val="0"/>
              <w:spacing w:before="0" w:after="283"/>
              <w:jc w:val="both"/>
              <w:rPr>
                <w:sz w:val="20"/>
              </w:rPr>
            </w:pPr>
            <w:r>
              <w:rPr>
                <w:sz w:val="20"/>
              </w:rPr>
              <w:t>Subject to the provisions of the Companies Act but without prejudice to paragraph (a) of this Article, where any asset, business or property is bought by the Company as from a past date (whether such date be before or after the incorporation of the Company) the profits and losses thereof as from such date may at the discretion of the Board in whole or in part be carried to revenue account and treated for all purposes as profits or losses of the Company, and be available for Dividend accordingly. Subject as aforesaid, if any Shares or securities are purchased cum Dividend or interest, such Dividend or interest may at the discretion of the Board be treated as revenue, and it shall not be obligatory to capitalise the same or any part thereof or to apply the same towards reduction of or writing down the book cost of the asset, business or property acquired.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(c)</w:t>
            </w:r>
          </w:p>
        </w:tc>
        <w:tc>
          <w:tcPr>
            <w:tcW w:w="9949" w:type="dxa"/>
            <w:tcBorders/>
            <w:vAlign w:val="center"/>
          </w:tcPr>
          <w:p>
            <w:pPr>
              <w:pStyle w:val="TableContents"/>
              <w:bidi w:val="0"/>
              <w:spacing w:before="0" w:after="283"/>
              <w:jc w:val="both"/>
              <w:rPr>
                <w:sz w:val="20"/>
              </w:rPr>
            </w:pPr>
            <w:r>
              <w:rPr>
                <w:sz w:val="20"/>
              </w:rPr>
              <w:t>Subject to paragraph (d) of this Article all Dividends and other distributions in respect of Shares shall be stated and discharged, in the case of Shares denominated in Hong Kong dollars, in Hong Kong dollars, and in the case of Shares denominated in any other currency, in such other currency, provided that, in the case of Shares denominated in Hong Kong dollars, the Board may determine in the case of any distribution that Shareholders may elect to receive the same in any other currency selected by the Board, converted at such rate of exchange as the Board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(d)</w:t>
            </w:r>
          </w:p>
        </w:tc>
        <w:tc>
          <w:tcPr>
            <w:tcW w:w="9935" w:type="dxa"/>
            <w:tcBorders/>
            <w:vAlign w:val="center"/>
          </w:tcPr>
          <w:p>
            <w:pPr>
              <w:pStyle w:val="TableContents"/>
              <w:bidi w:val="0"/>
              <w:spacing w:before="0" w:after="283"/>
              <w:jc w:val="both"/>
              <w:rPr>
                <w:sz w:val="20"/>
              </w:rPr>
            </w:pPr>
            <w:r>
              <w:rPr>
                <w:sz w:val="20"/>
              </w:rPr>
              <w:t>If, in the opinion of the Board, any Dividend or other distribution in respect of Shares or any other payment to be made by the Company to any Shareholder is of such a small amount as to make payment to that Shareholder in the relevant currency impracticable or unduly expensive either for the Company or the Shareholder then such Dividend or other distribution or other payment may, at the absolute discretion of the Board, be, if this be practicable, converted at such rate of exchange as the Board may determine and paid or made in the currency of the country of the relevant Shareholder (as indicated by the address of such Shareholder on the Register).</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sz w:val="20"/>
              </w:rPr>
            </w:pPr>
            <w:r>
              <w:rPr>
                <w:sz w:val="20"/>
              </w:rPr>
              <w:t>169.</w:t>
            </w:r>
          </w:p>
        </w:tc>
        <w:tc>
          <w:tcPr>
            <w:tcW w:w="8780" w:type="dxa"/>
            <w:tcBorders/>
            <w:vAlign w:val="center"/>
          </w:tcPr>
          <w:p>
            <w:pPr>
              <w:pStyle w:val="TableContents"/>
              <w:bidi w:val="0"/>
              <w:spacing w:before="0" w:after="283"/>
              <w:jc w:val="both"/>
              <w:rPr>
                <w:sz w:val="20"/>
              </w:rPr>
            </w:pPr>
            <w:r>
              <w:rPr>
                <w:sz w:val="20"/>
              </w:rPr>
              <w:t>Notice of the declaration of an interim Dividend shall be given in such manner as the Board shall determine.</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395"/>
        <w:gridCol w:w="8750"/>
      </w:tblGrid>
      <w:tr>
        <w:trPr/>
        <w:tc>
          <w:tcPr>
            <w:tcW w:w="395" w:type="dxa"/>
            <w:tcBorders/>
            <w:vAlign w:val="center"/>
          </w:tcPr>
          <w:p>
            <w:pPr>
              <w:pStyle w:val="TableContents"/>
              <w:bidi w:val="0"/>
              <w:spacing w:before="0" w:after="283"/>
              <w:jc w:val="left"/>
              <w:rPr>
                <w:sz w:val="20"/>
              </w:rPr>
            </w:pPr>
            <w:r>
              <w:rPr>
                <w:sz w:val="20"/>
              </w:rPr>
              <w:t>170.</w:t>
            </w:r>
          </w:p>
        </w:tc>
        <w:tc>
          <w:tcPr>
            <w:tcW w:w="8750" w:type="dxa"/>
            <w:tcBorders/>
            <w:vAlign w:val="center"/>
          </w:tcPr>
          <w:p>
            <w:pPr>
              <w:pStyle w:val="TableContents"/>
              <w:bidi w:val="0"/>
              <w:spacing w:before="0" w:after="283"/>
              <w:jc w:val="both"/>
              <w:rPr>
                <w:sz w:val="20"/>
              </w:rPr>
            </w:pPr>
            <w:r>
              <w:rPr>
                <w:sz w:val="20"/>
              </w:rPr>
              <w:t>No Dividend or other moneys payable on or in respect of a Share shall bear interest as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left"/>
              <w:rPr>
                <w:sz w:val="20"/>
              </w:rPr>
            </w:pPr>
            <w:r>
              <w:rPr>
                <w:sz w:val="20"/>
              </w:rPr>
              <w:t>171.</w:t>
            </w:r>
          </w:p>
        </w:tc>
        <w:tc>
          <w:tcPr>
            <w:tcW w:w="9854" w:type="dxa"/>
            <w:tcBorders/>
            <w:vAlign w:val="center"/>
          </w:tcPr>
          <w:p>
            <w:pPr>
              <w:pStyle w:val="TableContents"/>
              <w:bidi w:val="0"/>
              <w:spacing w:before="0" w:after="283"/>
              <w:jc w:val="both"/>
              <w:rPr>
                <w:sz w:val="20"/>
              </w:rPr>
            </w:pPr>
            <w:r>
              <w:rPr>
                <w:sz w:val="20"/>
              </w:rPr>
              <w:t>Whenever the Board or the Company in general meeting has resolved that a Dividend be paid or declared, the Board may further resolve that such Dividend be satisfied wholly or in part by the distribution of specific assets of any kind and in particular of paid up shares, debentures or warrants to subscribe securities of any other company, or in any one or more of such ways, with or without offering any rights to Shareholders to elect to receive such Dividend in cash, and where any difficulty arises in regard to the distribution the Board may settle the same as it thinks expedient, and in particular may disregard fractional entitlements or round the same up or down, and may fix the value for distribution of such specific assets, or any part thereof, and may determine that cash payments shall be made to any Shareholders upon the footing of the value so fixed in order to adjust the rights of all parties and may determine that fractional entitlements shall be aggregated and sold and the benefit shall accrue to the Company rather than to the Shareholders concerned, and may vest any such specific assets in trustees as may seem expedient to the Board and may authorise any person to sign any requisite instruments of transfer and other documents on behalf of all Shareholders interested in the Dividend and such instrument and document shall be effective. The Board may further authorise any person to enter into on behalf of all Shareholders having an interest in any agreement with the Company or other(s) providing for such Dividend and matters in connection therewith and any such agreement made under such authority shall be effective. The Board may resolve that no such assets shall be made available or made to Shareholders with registered addresses in any particular territory or territories being a territory or territories where, in the absence of a registration statement or other special formalities, this would or might, in the opinion of the Board, be unlawful or impracticable or the legality or practicality of which may be time consuming or expensive to ascertain whether in absolute terms or in relation to the value of the holding of Shares of the Shareholder concerned and in any such event the only entitlement of the Shareholders aforesaid shall be to receive cash payments as aforesaid. Shareholders affected as a result of exercise by the Board of its discretion under this Article shall not be, and shall be deemed not to be, a separate class of Shareholders for any purposes whatsoever.</w:t>
            </w:r>
          </w:p>
        </w:tc>
      </w:tr>
    </w:tbl>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
        <w:gridCol w:w="236"/>
        <w:gridCol w:w="9591"/>
      </w:tblGrid>
      <w:tr>
        <w:trPr/>
        <w:tc>
          <w:tcPr>
            <w:tcW w:w="378" w:type="dxa"/>
            <w:tcBorders/>
            <w:vAlign w:val="center"/>
          </w:tcPr>
          <w:p>
            <w:pPr>
              <w:pStyle w:val="TableContents"/>
              <w:bidi w:val="0"/>
              <w:spacing w:before="0" w:after="283"/>
              <w:jc w:val="left"/>
              <w:rPr>
                <w:sz w:val="20"/>
              </w:rPr>
            </w:pPr>
            <w:r>
              <w:rPr>
                <w:sz w:val="20"/>
              </w:rPr>
              <w:t>172.</w:t>
            </w:r>
          </w:p>
        </w:tc>
        <w:tc>
          <w:tcPr>
            <w:tcW w:w="236" w:type="dxa"/>
            <w:tcBorders/>
            <w:vAlign w:val="center"/>
          </w:tcPr>
          <w:p>
            <w:pPr>
              <w:pStyle w:val="TableContents"/>
              <w:bidi w:val="0"/>
              <w:spacing w:before="0" w:after="283"/>
              <w:jc w:val="both"/>
              <w:rPr>
                <w:sz w:val="20"/>
              </w:rPr>
            </w:pPr>
            <w:r>
              <w:rPr>
                <w:sz w:val="20"/>
              </w:rPr>
              <w:t xml:space="preserve">(a) </w:t>
            </w:r>
          </w:p>
        </w:tc>
        <w:tc>
          <w:tcPr>
            <w:tcW w:w="9591" w:type="dxa"/>
            <w:tcBorders/>
            <w:vAlign w:val="center"/>
          </w:tcPr>
          <w:p>
            <w:pPr>
              <w:pStyle w:val="TableContents"/>
              <w:bidi w:val="0"/>
              <w:spacing w:before="0" w:after="283"/>
              <w:jc w:val="both"/>
              <w:rPr>
                <w:sz w:val="20"/>
              </w:rPr>
            </w:pPr>
            <w:r>
              <w:rPr>
                <w:sz w:val="20"/>
              </w:rPr>
              <w:t>Whenever the Board or the Company in general meeting has resolved that a Dividend be paid or declared on the share capital of the Company, the Board may further resolve,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(i)</w:t>
            </w:r>
          </w:p>
        </w:tc>
        <w:tc>
          <w:tcPr>
            <w:tcW w:w="9975" w:type="dxa"/>
            <w:tcBorders/>
            <w:vAlign w:val="center"/>
          </w:tcPr>
          <w:p>
            <w:pPr>
              <w:pStyle w:val="TableContents"/>
              <w:bidi w:val="0"/>
              <w:spacing w:before="0" w:after="283"/>
              <w:jc w:val="both"/>
              <w:rPr>
                <w:sz w:val="20"/>
              </w:rPr>
            </w:pPr>
            <w:r>
              <w:rPr>
                <w:sz w:val="20"/>
              </w:rPr>
              <w:t>that such Dividend be satisfied wholly or in part in the form of an allotment of Shares credited as fully paid on the basis that the Shares so allotted shall be of the same class or classes as the class or classes already held by the allottee, provided that the Shareholders entitled thereto will be entitled to elect to receive such Dividend (or part thereof) in cash in lieu of such allotment. In such case, the following provisions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275"/>
        <w:gridCol w:w="53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(A)</w:t>
            </w:r>
          </w:p>
        </w:tc>
        <w:tc>
          <w:tcPr>
            <w:tcW w:w="5330" w:type="dxa"/>
            <w:tcBorders/>
            <w:vAlign w:val="center"/>
          </w:tcPr>
          <w:p>
            <w:pPr>
              <w:pStyle w:val="TableContents"/>
              <w:bidi w:val="0"/>
              <w:spacing w:before="0" w:after="283"/>
              <w:jc w:val="left"/>
              <w:rPr>
                <w:sz w:val="20"/>
              </w:rPr>
            </w:pPr>
            <w:r>
              <w:rPr>
                <w:sz w:val="20"/>
              </w:rPr>
              <w:t>the basis of any such allotment shall be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20"/>
              </w:rPr>
            </w:pPr>
            <w:r>
              <w:rPr>
                <w:sz w:val="20"/>
              </w:rPr>
              <w:t>(B)</w:t>
            </w:r>
          </w:p>
        </w:tc>
        <w:tc>
          <w:tcPr>
            <w:tcW w:w="9898" w:type="dxa"/>
            <w:tcBorders/>
            <w:vAlign w:val="center"/>
          </w:tcPr>
          <w:p>
            <w:pPr>
              <w:pStyle w:val="TableContents"/>
              <w:bidi w:val="0"/>
              <w:spacing w:before="0" w:after="283"/>
              <w:jc w:val="both"/>
              <w:rPr>
                <w:sz w:val="20"/>
              </w:rPr>
            </w:pPr>
            <w:r>
              <w:rPr>
                <w:sz w:val="20"/>
              </w:rPr>
              <w:t>the Board, after determining the basis of allotment, shall give not less than 14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20"/>
              </w:rPr>
            </w:pPr>
            <w:r>
              <w:rPr>
                <w:sz w:val="20"/>
              </w:rPr>
              <w:t>(C)</w:t>
            </w:r>
          </w:p>
        </w:tc>
        <w:tc>
          <w:tcPr>
            <w:tcW w:w="9872" w:type="dxa"/>
            <w:tcBorders/>
            <w:vAlign w:val="center"/>
          </w:tcPr>
          <w:p>
            <w:pPr>
              <w:pStyle w:val="TableContents"/>
              <w:bidi w:val="0"/>
              <w:spacing w:before="0" w:after="283"/>
              <w:jc w:val="both"/>
              <w:rPr>
                <w:sz w:val="20"/>
              </w:rPr>
            </w:pPr>
            <w:r>
              <w:rPr>
                <w:sz w:val="20"/>
              </w:rPr>
              <w:t>the right of election may be exercised in respect of the whole or part of that portion of the Dividend in respect of which the right of election has been accorded;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(D)</w:t>
            </w:r>
          </w:p>
        </w:tc>
        <w:tc>
          <w:tcPr>
            <w:tcW w:w="9908" w:type="dxa"/>
            <w:tcBorders/>
            <w:vAlign w:val="center"/>
          </w:tcPr>
          <w:p>
            <w:pPr>
              <w:pStyle w:val="TableContents"/>
              <w:bidi w:val="0"/>
              <w:spacing w:before="0" w:after="283"/>
              <w:jc w:val="both"/>
              <w:rPr>
                <w:sz w:val="20"/>
              </w:rPr>
            </w:pPr>
            <w:r>
              <w:rPr>
                <w:sz w:val="20"/>
              </w:rPr>
              <w:t>Dividend (or that part of the Dividend to be satisfied by the allotment of Shares as aforesaid) shall not be payable in cash in respect whereof the cash election has not been duly exercised (“</w:t>
            </w:r>
            <w:r>
              <w:rPr>
                <w:b/>
                <w:sz w:val="20"/>
              </w:rPr>
              <w:t>the non-elected Shares</w:t>
            </w:r>
            <w:r>
              <w:rPr>
                <w:sz w:val="20"/>
              </w:rPr>
              <w:t>”) and in lieu and in satisfaction thereof Shares shall be allotted credited as fully paid to the holders of the non-elected Shares on the basis of allotment determined as aforesaid and for such purpose the Board shall capitalise and apply out of any part of the undivided profits of the Company or any part of any of the Company’s reserve accounts (including any special account, or share premium account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non-elected Shares on such basis;</w:t>
            </w:r>
          </w:p>
        </w:tc>
      </w:tr>
    </w:tbl>
    <w:p>
      <w:pPr>
        <w:pStyle w:val="TextBody"/>
        <w:bidi w:val="0"/>
        <w:spacing w:before="0" w:after="0"/>
        <w:ind w:left="2409"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sz w:val="20"/>
              </w:rPr>
            </w:pPr>
            <w:r>
              <w:rPr>
                <w:sz w:val="20"/>
              </w:rPr>
              <w:t>(ii)</w:t>
            </w:r>
          </w:p>
        </w:tc>
        <w:tc>
          <w:tcPr>
            <w:tcW w:w="9913" w:type="dxa"/>
            <w:tcBorders/>
            <w:vAlign w:val="center"/>
          </w:tcPr>
          <w:p>
            <w:pPr>
              <w:pStyle w:val="TableContents"/>
              <w:bidi w:val="0"/>
              <w:spacing w:before="0" w:after="283"/>
              <w:jc w:val="both"/>
              <w:rPr>
                <w:sz w:val="20"/>
              </w:rPr>
            </w:pPr>
            <w:r>
              <w:rPr>
                <w:sz w:val="20"/>
              </w:rPr>
              <w:t>that Shareholders entitled to such Dividend will be entitled to elect to receive an allotment of Shares credited as fully paid in lieu of the whole or such part of the Dividend as the Board may think fit on the basis that the Shares so allotted shall be of the same class or classes as the class or classes of Shares already held by the allottee. In such case, the following provisions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275"/>
        <w:gridCol w:w="533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20"/>
              </w:rPr>
            </w:pPr>
            <w:r>
              <w:rPr>
                <w:sz w:val="20"/>
              </w:rPr>
              <w:t>(A)</w:t>
            </w:r>
          </w:p>
        </w:tc>
        <w:tc>
          <w:tcPr>
            <w:tcW w:w="5330" w:type="dxa"/>
            <w:tcBorders/>
            <w:vAlign w:val="center"/>
          </w:tcPr>
          <w:p>
            <w:pPr>
              <w:pStyle w:val="TableContents"/>
              <w:bidi w:val="0"/>
              <w:spacing w:before="0" w:after="283"/>
              <w:jc w:val="left"/>
              <w:rPr>
                <w:sz w:val="20"/>
              </w:rPr>
            </w:pPr>
            <w:r>
              <w:rPr>
                <w:sz w:val="20"/>
              </w:rPr>
              <w:t>the basis of any such allotment shall be determined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20"/>
              </w:rPr>
            </w:pPr>
            <w:r>
              <w:rPr>
                <w:sz w:val="20"/>
              </w:rPr>
              <w:t>(B)</w:t>
            </w:r>
          </w:p>
        </w:tc>
        <w:tc>
          <w:tcPr>
            <w:tcW w:w="9898" w:type="dxa"/>
            <w:tcBorders/>
            <w:vAlign w:val="center"/>
          </w:tcPr>
          <w:p>
            <w:pPr>
              <w:pStyle w:val="TableContents"/>
              <w:bidi w:val="0"/>
              <w:spacing w:before="0" w:after="283"/>
              <w:jc w:val="both"/>
              <w:rPr>
                <w:sz w:val="20"/>
              </w:rPr>
            </w:pPr>
            <w:r>
              <w:rPr>
                <w:sz w:val="20"/>
              </w:rPr>
              <w:t>the Board, after determining the basis of allotment, shall give not less than 14 clear days’ notice in writing to the Shareholders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sz w:val="20"/>
              </w:rPr>
            </w:pPr>
            <w:r>
              <w:rPr>
                <w:sz w:val="20"/>
              </w:rPr>
              <w:t>(C)</w:t>
            </w:r>
          </w:p>
        </w:tc>
        <w:tc>
          <w:tcPr>
            <w:tcW w:w="9872" w:type="dxa"/>
            <w:tcBorders/>
            <w:vAlign w:val="center"/>
          </w:tcPr>
          <w:p>
            <w:pPr>
              <w:pStyle w:val="TableContents"/>
              <w:bidi w:val="0"/>
              <w:spacing w:before="0" w:after="283"/>
              <w:jc w:val="both"/>
              <w:rPr>
                <w:sz w:val="20"/>
              </w:rPr>
            </w:pPr>
            <w:r>
              <w:rPr>
                <w:sz w:val="20"/>
              </w:rPr>
              <w:t>the right of election may be exercised in respect of the whole or part of that portion of the Dividend in respect of which the right of election has been accorded;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20"/>
              </w:rPr>
            </w:pPr>
            <w:r>
              <w:rPr>
                <w:sz w:val="20"/>
              </w:rPr>
              <w:t>(D)</w:t>
            </w:r>
          </w:p>
        </w:tc>
        <w:tc>
          <w:tcPr>
            <w:tcW w:w="9909" w:type="dxa"/>
            <w:tcBorders/>
            <w:vAlign w:val="center"/>
          </w:tcPr>
          <w:p>
            <w:pPr>
              <w:pStyle w:val="TableContents"/>
              <w:bidi w:val="0"/>
              <w:spacing w:before="0" w:after="283"/>
              <w:jc w:val="both"/>
              <w:rPr>
                <w:sz w:val="20"/>
              </w:rPr>
            </w:pPr>
            <w:r>
              <w:rPr>
                <w:sz w:val="20"/>
              </w:rPr>
              <w:t>the Dividend (or that part of the Dividend in respect of which a right of election has been accorded) shall not be payable on Shares in respect whereof the Share election has been duly exercised (“</w:t>
            </w:r>
            <w:r>
              <w:rPr>
                <w:b/>
                <w:sz w:val="20"/>
              </w:rPr>
              <w:t>the elected Shares</w:t>
            </w:r>
            <w:r>
              <w:rPr>
                <w:sz w:val="20"/>
              </w:rPr>
              <w:t>”) and in lieu thereof Shares shall be allotted credited as fully paid to the holders of the elected Shares on the basis of allotment determined as aforesaid and for such purpose the Board shall capitalise and apply out of any part of the undivided profits of the Company or any part of any of the Company’s reserve accounts (including any special account, contributed surplus account, share premium account and capital redemption reserve fund (if there be any such reserve)) as the Board may determine, a sum equal to the aggregate nominal amount of the Shares to be allotted on such basis and apply the same in paying up in full the appropriate number of Shares for allotment and distribution to and amongst the holders of the elected Shares on such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sz w:val="20"/>
              </w:rPr>
            </w:pPr>
            <w:r>
              <w:rPr>
                <w:sz w:val="20"/>
              </w:rPr>
              <w:t>(b)</w:t>
            </w:r>
          </w:p>
        </w:tc>
        <w:tc>
          <w:tcPr>
            <w:tcW w:w="9916" w:type="dxa"/>
            <w:tcBorders/>
            <w:vAlign w:val="center"/>
          </w:tcPr>
          <w:p>
            <w:pPr>
              <w:pStyle w:val="TableContents"/>
              <w:bidi w:val="0"/>
              <w:spacing w:before="0" w:after="283"/>
              <w:jc w:val="both"/>
              <w:rPr>
                <w:sz w:val="20"/>
              </w:rPr>
            </w:pPr>
            <w:r>
              <w:rPr>
                <w:sz w:val="20"/>
              </w:rPr>
              <w:t>The Shares allotted pursuant to the provisions of paragraph (a) of this Article shall rank pari passu in all respects with the Shares then in issue and held by the allottee in respect of which they were allotted, save only as regards participation:</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00"/>
        <w:gridCol w:w="99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9905" w:type="dxa"/>
            <w:tcBorders/>
            <w:vAlign w:val="center"/>
          </w:tcPr>
          <w:p>
            <w:pPr>
              <w:pStyle w:val="TableContents"/>
              <w:bidi w:val="0"/>
              <w:spacing w:before="0" w:after="283"/>
              <w:jc w:val="both"/>
              <w:rPr>
                <w:sz w:val="20"/>
              </w:rPr>
            </w:pPr>
            <w:r>
              <w:rPr>
                <w:sz w:val="20"/>
              </w:rPr>
              <w:t>in the relevant Dividend (or the right to receive or to elect to receive an allotment of Shares in lieu thereof as aforesaid);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(ii)</w:t>
            </w:r>
          </w:p>
        </w:tc>
        <w:tc>
          <w:tcPr>
            <w:tcW w:w="9921" w:type="dxa"/>
            <w:tcBorders/>
            <w:vAlign w:val="center"/>
          </w:tcPr>
          <w:p>
            <w:pPr>
              <w:pStyle w:val="TableContents"/>
              <w:bidi w:val="0"/>
              <w:spacing w:before="0" w:after="283"/>
              <w:jc w:val="both"/>
              <w:rPr>
                <w:sz w:val="20"/>
              </w:rPr>
            </w:pPr>
            <w:r>
              <w:rPr>
                <w:sz w:val="20"/>
              </w:rPr>
              <w:t>in any other distributions, bonuses or rights paid, made, declared or announced prior to or contemporaneously with the payment or declaration of the relevant Dividend unless, contemporaneously with the announcement by the Board of its proposal to apply the provisions of sub-paragraph (a)(i) or (a)(ii) of paragraph (a) of this Article in relation to the relevant Dividend or contemporaneously with its announcement of the distribution, bonus or rights in question, the Board shall have specified that the Shares to be allotted pursuant to the provisions of paragraph (a) of this Article shall rank for participation in such distribution, bonus or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sz w:val="20"/>
              </w:rPr>
            </w:pPr>
            <w:r>
              <w:rPr>
                <w:sz w:val="20"/>
              </w:rPr>
              <w:t>(c)</w:t>
            </w:r>
          </w:p>
        </w:tc>
        <w:tc>
          <w:tcPr>
            <w:tcW w:w="9954" w:type="dxa"/>
            <w:tcBorders/>
            <w:vAlign w:val="center"/>
          </w:tcPr>
          <w:p>
            <w:pPr>
              <w:pStyle w:val="TableContents"/>
              <w:bidi w:val="0"/>
              <w:spacing w:before="0" w:after="283"/>
              <w:jc w:val="both"/>
              <w:rPr>
                <w:sz w:val="20"/>
              </w:rPr>
            </w:pPr>
            <w:r>
              <w:rPr>
                <w:sz w:val="20"/>
              </w:rPr>
              <w:t>The Board may do all acts and things considered necessary or expedient to give effect to any capitalisation pursuant to the provisions of paragraph (a)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Shareholders concerned), and no Shareholders who will be affected thereby shall be, and they shall be deemed not to be, a separate class of Shareholders by reason only of the exercise of this power. The Board may authorise any person to enter into on behalf of all Shareholders interested, an agreement with the Company providing for such capitalisation and matters incidental thereto and any agreement made pursuant to such authority shall be effective and binding on all concerned.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20"/>
              </w:rPr>
            </w:pPr>
            <w:r>
              <w:rPr>
                <w:sz w:val="20"/>
              </w:rPr>
              <w:t>(d)</w:t>
            </w:r>
          </w:p>
        </w:tc>
        <w:tc>
          <w:tcPr>
            <w:tcW w:w="9929" w:type="dxa"/>
            <w:tcBorders/>
            <w:vAlign w:val="center"/>
          </w:tcPr>
          <w:p>
            <w:pPr>
              <w:pStyle w:val="TableContents"/>
              <w:bidi w:val="0"/>
              <w:spacing w:before="0" w:after="283"/>
              <w:jc w:val="both"/>
              <w:rPr>
                <w:sz w:val="20"/>
              </w:rPr>
            </w:pPr>
            <w:r>
              <w:rPr>
                <w:sz w:val="20"/>
              </w:rPr>
              <w:t>The Company may upon the recommendation of the Board by Ordinary Resolution resolve in respect of any one particular Dividend that notwithstanding the provisions of paragraph (a) of this Article a Dividend may be satisfied wholly in the form of an allotment of Shares credited as fully paid without offering any right to Shareholders to elect to receive such Dividend in cash in lieu of such allotment.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20"/>
              </w:rPr>
            </w:pPr>
            <w:r>
              <w:rPr>
                <w:sz w:val="20"/>
              </w:rPr>
              <w:t>(e)</w:t>
            </w:r>
          </w:p>
        </w:tc>
        <w:tc>
          <w:tcPr>
            <w:tcW w:w="9953" w:type="dxa"/>
            <w:tcBorders/>
            <w:vAlign w:val="center"/>
          </w:tcPr>
          <w:p>
            <w:pPr>
              <w:pStyle w:val="TableContents"/>
              <w:bidi w:val="0"/>
              <w:spacing w:before="0" w:after="283"/>
              <w:jc w:val="both"/>
              <w:rPr>
                <w:sz w:val="20"/>
              </w:rPr>
            </w:pPr>
            <w:r>
              <w:rPr>
                <w:sz w:val="20"/>
              </w:rPr>
              <w:t>The Board may on any occasion determine that rights of election and the allotment of Shares under paragraph (a)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be unlawful or impracticable or the legality or practicability of which may be time consuming or expensive to ascertain whether in absolute terms or in relation to the value of the holding of Shares of the Shareholder concerned, and in such event the provisions aforesaid shall be read and construed subject to such determination and no Shareholder who may be affected by any such determination shall be, and they shall be deemed not to be, a separate class of Shareholders for any purposes whatsoever.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173.</w:t>
            </w:r>
          </w:p>
        </w:tc>
        <w:tc>
          <w:tcPr>
            <w:tcW w:w="9851" w:type="dxa"/>
            <w:tcBorders/>
            <w:vAlign w:val="center"/>
          </w:tcPr>
          <w:p>
            <w:pPr>
              <w:pStyle w:val="TableContents"/>
              <w:bidi w:val="0"/>
              <w:spacing w:before="0" w:after="283"/>
              <w:jc w:val="both"/>
              <w:rPr>
                <w:sz w:val="20"/>
              </w:rPr>
            </w:pPr>
            <w:r>
              <w:rPr>
                <w:sz w:val="20"/>
              </w:rPr>
              <w:t>The Board may, before recommending any Dividend, set aside out of the profits of the Company such sums as it thinks fit as a reserve or reserves which shall, at the discretion of the Board, be applicable for meeting claims on or liabilities of the Company or contingencies or for paying off any loan capital or for equalising Dividends or for any other purpose to which the profits of the Company may be properly applied, and pending such application may, at the like discretion, either be employed in the business of the Company or be invested in such investments (including in the repurchase by the Company of its own securities or the giving of any financial assistance for the acquisition of its own securities)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 by way of Dividend.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sz w:val="20"/>
              </w:rPr>
            </w:pPr>
            <w:r>
              <w:rPr>
                <w:sz w:val="20"/>
              </w:rPr>
              <w:t>174.</w:t>
            </w:r>
          </w:p>
        </w:tc>
        <w:tc>
          <w:tcPr>
            <w:tcW w:w="9846" w:type="dxa"/>
            <w:tcBorders/>
            <w:vAlign w:val="center"/>
          </w:tcPr>
          <w:p>
            <w:pPr>
              <w:pStyle w:val="TableContents"/>
              <w:bidi w:val="0"/>
              <w:spacing w:before="0" w:after="283"/>
              <w:jc w:val="both"/>
              <w:rPr>
                <w:sz w:val="20"/>
              </w:rPr>
            </w:pPr>
            <w:r>
              <w:rPr>
                <w:sz w:val="20"/>
              </w:rPr>
              <w:t>Unless and to the extent that the rights attached to any Shares or the terms of issue thereof otherwise provide, all Dividends shall (as regards any Shares not fully paid throughout the period in respect of which the Dividend is paid) be apportioned and paid pro rata according to the amounts paid or credited as paid on the Shares during any portion or portions of the period in respect of which the Dividend is paid. For the purposes of this Article no amount paid on a Share in advance of calls pursuant to Article 38 shall be treated as paid on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196"/>
        <w:gridCol w:w="9639"/>
      </w:tblGrid>
      <w:tr>
        <w:trPr/>
        <w:tc>
          <w:tcPr>
            <w:tcW w:w="370" w:type="dxa"/>
            <w:tcBorders/>
            <w:vAlign w:val="center"/>
          </w:tcPr>
          <w:p>
            <w:pPr>
              <w:pStyle w:val="TableContents"/>
              <w:bidi w:val="0"/>
              <w:spacing w:before="0" w:after="283"/>
              <w:jc w:val="left"/>
              <w:rPr>
                <w:sz w:val="20"/>
              </w:rPr>
            </w:pPr>
            <w:r>
              <w:rPr>
                <w:sz w:val="20"/>
              </w:rPr>
              <w:t>175.</w:t>
            </w:r>
          </w:p>
        </w:tc>
        <w:tc>
          <w:tcPr>
            <w:tcW w:w="196" w:type="dxa"/>
            <w:tcBorders/>
            <w:vAlign w:val="center"/>
          </w:tcPr>
          <w:p>
            <w:pPr>
              <w:pStyle w:val="TableContents"/>
              <w:bidi w:val="0"/>
              <w:spacing w:before="0" w:after="283"/>
              <w:jc w:val="both"/>
              <w:rPr>
                <w:sz w:val="20"/>
              </w:rPr>
            </w:pPr>
            <w:r>
              <w:rPr>
                <w:sz w:val="20"/>
              </w:rPr>
              <w:t>(a)</w:t>
            </w:r>
          </w:p>
        </w:tc>
        <w:tc>
          <w:tcPr>
            <w:tcW w:w="9639" w:type="dxa"/>
            <w:tcBorders/>
            <w:vAlign w:val="center"/>
          </w:tcPr>
          <w:p>
            <w:pPr>
              <w:pStyle w:val="TableContents"/>
              <w:bidi w:val="0"/>
              <w:spacing w:before="0" w:after="283"/>
              <w:jc w:val="both"/>
              <w:rPr>
                <w:sz w:val="20"/>
              </w:rPr>
            </w:pPr>
            <w:r>
              <w:rPr>
                <w:sz w:val="20"/>
              </w:rPr>
              <w:t>The Board may retain any Dividends or other moneys payable on or in respect of a Share upon which the Company has a lien, and may apply the same in or towards satisfaction of the debts, liabilities or engagements in respect of which the lien exists.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20"/>
              </w:rPr>
            </w:pPr>
            <w:r>
              <w:rPr>
                <w:sz w:val="20"/>
              </w:rPr>
              <w:t>(b)</w:t>
            </w:r>
          </w:p>
        </w:tc>
        <w:tc>
          <w:tcPr>
            <w:tcW w:w="9910" w:type="dxa"/>
            <w:tcBorders/>
            <w:vAlign w:val="center"/>
          </w:tcPr>
          <w:p>
            <w:pPr>
              <w:pStyle w:val="TableContents"/>
              <w:bidi w:val="0"/>
              <w:spacing w:before="0" w:after="283"/>
              <w:jc w:val="both"/>
              <w:rPr>
                <w:sz w:val="20"/>
              </w:rPr>
            </w:pPr>
            <w:r>
              <w:rPr>
                <w:sz w:val="20"/>
              </w:rPr>
              <w:t>The Board may deduct from any Dividend or other money payable to any Shareholder all sums of money (if any) presently payable by him to the Company on account of calls, instalments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sz w:val="20"/>
              </w:rPr>
            </w:pPr>
            <w:r>
              <w:rPr>
                <w:sz w:val="20"/>
              </w:rPr>
              <w:t>176.</w:t>
            </w:r>
          </w:p>
        </w:tc>
        <w:tc>
          <w:tcPr>
            <w:tcW w:w="9843" w:type="dxa"/>
            <w:tcBorders/>
            <w:vAlign w:val="center"/>
          </w:tcPr>
          <w:p>
            <w:pPr>
              <w:pStyle w:val="TableContents"/>
              <w:bidi w:val="0"/>
              <w:spacing w:before="0" w:after="283"/>
              <w:jc w:val="both"/>
              <w:rPr>
                <w:sz w:val="20"/>
              </w:rPr>
            </w:pPr>
            <w:r>
              <w:rPr>
                <w:sz w:val="20"/>
              </w:rPr>
              <w:t>Any general meeting sanctioning a Dividend may make a call on the Shareholders of such amount as the meeting fixes, but so that the call on each Shareholder shall not exceed the Dividend payable to him, and so that the call shall be made payable at the same time as the Dividend, and the Dividend may, if so arranged between the Company and the Shareholder, be set off against the call.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sz w:val="20"/>
              </w:rPr>
            </w:pPr>
            <w:r>
              <w:rPr>
                <w:sz w:val="20"/>
              </w:rPr>
              <w:t>177.</w:t>
            </w:r>
          </w:p>
        </w:tc>
        <w:tc>
          <w:tcPr>
            <w:tcW w:w="9832" w:type="dxa"/>
            <w:tcBorders/>
            <w:vAlign w:val="center"/>
          </w:tcPr>
          <w:p>
            <w:pPr>
              <w:pStyle w:val="TableContents"/>
              <w:bidi w:val="0"/>
              <w:spacing w:before="0" w:after="283"/>
              <w:jc w:val="both"/>
              <w:rPr>
                <w:sz w:val="20"/>
              </w:rPr>
            </w:pPr>
            <w:r>
              <w:rPr>
                <w:sz w:val="20"/>
              </w:rPr>
              <w:t>A transfer of Shares shall not, as against the Company but without prejudice to the rights of the transferor and transferee inter se, pass the right to any Dividend or bonus declared thereon before the registration of the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sz w:val="20"/>
              </w:rPr>
            </w:pPr>
            <w:r>
              <w:rPr>
                <w:sz w:val="20"/>
              </w:rPr>
              <w:t>178.</w:t>
            </w:r>
          </w:p>
        </w:tc>
        <w:tc>
          <w:tcPr>
            <w:tcW w:w="9833" w:type="dxa"/>
            <w:tcBorders/>
            <w:vAlign w:val="center"/>
          </w:tcPr>
          <w:p>
            <w:pPr>
              <w:pStyle w:val="TableContents"/>
              <w:bidi w:val="0"/>
              <w:spacing w:before="0" w:after="283"/>
              <w:jc w:val="both"/>
              <w:rPr>
                <w:sz w:val="20"/>
              </w:rPr>
            </w:pPr>
            <w:r>
              <w:rPr>
                <w:sz w:val="20"/>
              </w:rPr>
              <w:t>If two or more persons are registered as joint holders of any Share, any one of such persons may give effectual receipts for any Dividends and other moneys payable and bonuses, rights and other distributions in respect of such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sz w:val="20"/>
              </w:rPr>
            </w:pPr>
            <w:r>
              <w:rPr>
                <w:sz w:val="20"/>
              </w:rPr>
              <w:t>179.</w:t>
            </w:r>
          </w:p>
        </w:tc>
        <w:tc>
          <w:tcPr>
            <w:tcW w:w="9852" w:type="dxa"/>
            <w:tcBorders/>
            <w:vAlign w:val="center"/>
          </w:tcPr>
          <w:p>
            <w:pPr>
              <w:pStyle w:val="TableContents"/>
              <w:bidi w:val="0"/>
              <w:spacing w:before="0" w:after="283"/>
              <w:jc w:val="both"/>
              <w:rPr>
                <w:sz w:val="20"/>
              </w:rPr>
            </w:pPr>
            <w:r>
              <w:rPr>
                <w:sz w:val="20"/>
              </w:rPr>
              <w:t>Unless otherwise directed by the Board, any Dividend or other moneys payable or bonuses, rights or other distributions in respect of any Share may be paid or satisfied by cheque or warrant or certificate or other documents or evidence of title sent through the post to the registered address of the Shareholder entitled, or, in the case of joint holders, to the registered address of that one whose name stands first in the Register in respect of the joint holding or to such person and to such address as the holder or joint holders may in writing direct. Every cheque, warrant, certificate or other document or evidence of title so sent shall be made payable to the order of the person to whom it is sent or, in the case of certificates or other documents or evidence of title as aforesaid, in favour of the Shareholder(s) entitled thereto, and the payment on any such cheque or warrant by the banker upon whom it is drawn shall operate as a good discharge to the Company in respect of the Dividend and/or other moneys represented thereby, notwithstanding that it may subsequently appear that the same has been stolen or that any endorsement thereon has been forged. Every such cheque, warrant, certificate or other document or evidence of title as aforesaid shall be sent at the risk of the person entitled to the Dividend, money, bonus, rights and other distributions represented thereby.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180.</w:t>
            </w:r>
          </w:p>
        </w:tc>
        <w:tc>
          <w:tcPr>
            <w:tcW w:w="9850" w:type="dxa"/>
            <w:tcBorders/>
            <w:vAlign w:val="center"/>
          </w:tcPr>
          <w:p>
            <w:pPr>
              <w:pStyle w:val="TableContents"/>
              <w:bidi w:val="0"/>
              <w:spacing w:before="0" w:after="283"/>
              <w:jc w:val="both"/>
              <w:rPr>
                <w:sz w:val="20"/>
              </w:rPr>
            </w:pPr>
            <w:r>
              <w:rPr>
                <w:sz w:val="20"/>
              </w:rPr>
              <w:t>All Dividends, bonuses or other distributions or the proceeds of the realisation of any of the foregoing unclaimed for one year after having been declared by the Company until claimed and, notwithstanding any entry in any books of the Company may be invested or otherwise made use of by the Board for the benefit of the Company or otherwise howsoever, and the Company shall not be constituted a trustee in respect thereof. All Dividends, bonuses or other distributions or the proceeds of the realisation of any of the foregoing unclaimed for six years after having been declared may be forfeited by the Board and, upon such forfeiture, shall revert to the Company and, in the case where any of the same are securities of the Company, may be re-allotted or re-issued for such consideration as the Board thinks fit and the proceeds thereof shall accrue to the benefit of the Company absolutely.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181.</w:t>
            </w:r>
          </w:p>
        </w:tc>
        <w:tc>
          <w:tcPr>
            <w:tcW w:w="9851" w:type="dxa"/>
            <w:tcBorders/>
            <w:vAlign w:val="center"/>
          </w:tcPr>
          <w:p>
            <w:pPr>
              <w:pStyle w:val="TableContents"/>
              <w:bidi w:val="0"/>
              <w:spacing w:before="0" w:after="283"/>
              <w:jc w:val="both"/>
              <w:rPr>
                <w:sz w:val="20"/>
              </w:rPr>
            </w:pPr>
            <w:r>
              <w:rPr>
                <w:sz w:val="20"/>
              </w:rPr>
              <w:t>Subject to the Listing Rules, any resolution declaring a Dividend or other distribution on Shares of any class, whether a resolution of the Company in general meeting or a resolution of the Board, may specify that the same shall be payable or made to the persons registered as the holder of such Shares at the close of business on a particular date or at a particular time on a particular date, and thereupon the Dividend or other distribution shall be payable or made to them in accordance with their respective holdings so registered, but without prejudice to the rights inter se in respect of such Dividend or other distribution between the transferors and transferees of any such Shares. The provisions of this Article shall mutatis mutandis apply to determining the Shareholders entitled to receive notice and vote at any general meeting of the Company, bonuses, capitalisation issues, distributions of realised and unrealised capital profits or other distributable reserves or accounts of the Company and offers or grants made by the Company to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182.</w:t>
            </w:r>
          </w:p>
        </w:tc>
        <w:tc>
          <w:tcPr>
            <w:tcW w:w="9851" w:type="dxa"/>
            <w:tcBorders/>
            <w:vAlign w:val="center"/>
          </w:tcPr>
          <w:p>
            <w:pPr>
              <w:pStyle w:val="TableContents"/>
              <w:bidi w:val="0"/>
              <w:spacing w:before="0" w:after="283"/>
              <w:jc w:val="both"/>
              <w:rPr>
                <w:sz w:val="20"/>
              </w:rPr>
            </w:pPr>
            <w:r>
              <w:rPr>
                <w:sz w:val="20"/>
              </w:rPr>
              <w:t>The Company in general meeting may at any time and from time to time resolve that any surplus moneys in the hands of the Company representing capital profits arising from moneys received or recovered in respect of or arising from the realisation of any capital assets of the Company or any investments representing the same and not required for the payment or provision of any fixed preferential Dividend instead of being applied in the purchase of any other capital assets or for other capital purposes be distributed amongst its Shareholders on the footing that they receive the same as capital and in the Shares and proportions in which they would have been entitled to receive the same if it had been distributed by way of Dividend, provided that no such surplus moneys as aforesaid shall be so distributed unless the Company will remain solvent after the distribution, or the net realisable value of the assets of the Company will after the distribution be greater than the aggregate of its liabilities, share capital and 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sz w:val="20"/>
              </w:rPr>
            </w:pPr>
            <w:r>
              <w:rPr>
                <w:sz w:val="20"/>
              </w:rPr>
              <w:t>183.</w:t>
            </w:r>
          </w:p>
        </w:tc>
        <w:tc>
          <w:tcPr>
            <w:tcW w:w="9820" w:type="dxa"/>
            <w:tcBorders/>
            <w:vAlign w:val="center"/>
          </w:tcPr>
          <w:p>
            <w:pPr>
              <w:pStyle w:val="TableContents"/>
              <w:bidi w:val="0"/>
              <w:spacing w:before="0" w:after="283"/>
              <w:jc w:val="both"/>
              <w:rPr>
                <w:sz w:val="20"/>
              </w:rPr>
            </w:pPr>
            <w:r>
              <w:rPr>
                <w:sz w:val="20"/>
              </w:rPr>
              <w:t>The Board shall make or cause to be made such annual or other returns or filings as may be required to be made in accordance with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sz w:val="20"/>
              </w:rPr>
            </w:pPr>
            <w:r>
              <w:rPr>
                <w:sz w:val="20"/>
              </w:rPr>
              <w:t>184.</w:t>
            </w:r>
          </w:p>
        </w:tc>
        <w:tc>
          <w:tcPr>
            <w:tcW w:w="9847" w:type="dxa"/>
            <w:tcBorders/>
            <w:vAlign w:val="center"/>
          </w:tcPr>
          <w:p>
            <w:pPr>
              <w:pStyle w:val="TableContents"/>
              <w:bidi w:val="0"/>
              <w:spacing w:before="0" w:after="283"/>
              <w:jc w:val="both"/>
              <w:rPr>
                <w:sz w:val="20"/>
              </w:rPr>
            </w:pPr>
            <w:r>
              <w:rPr>
                <w:sz w:val="20"/>
              </w:rPr>
              <w:t>The Board shall cause proper books of account to be kept of the sums of money received and expended by the Company, and the matters in respect of which such receipts and expenditure take place; and of the assets and liabilities of the Company and of all other matters required by the Companies Act necessary to give a true and fair view of the state of the Company’s affairs and to show and explain its transactions. The financial year of the Company shall end on 31 December of each year or such other date as the Directors may determine, subject to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sz w:val="20"/>
              </w:rPr>
            </w:pPr>
            <w:r>
              <w:rPr>
                <w:sz w:val="20"/>
              </w:rPr>
              <w:t>185.</w:t>
            </w:r>
          </w:p>
        </w:tc>
        <w:tc>
          <w:tcPr>
            <w:tcW w:w="9824" w:type="dxa"/>
            <w:tcBorders/>
            <w:vAlign w:val="center"/>
          </w:tcPr>
          <w:p>
            <w:pPr>
              <w:pStyle w:val="TableContents"/>
              <w:bidi w:val="0"/>
              <w:spacing w:before="0" w:after="283"/>
              <w:jc w:val="both"/>
              <w:rPr>
                <w:sz w:val="20"/>
              </w:rPr>
            </w:pPr>
            <w:r>
              <w:rPr>
                <w:sz w:val="20"/>
              </w:rPr>
              <w:t>The books of account shall be kept at the Head Office or at such other place or places as the Board thinks fit and shall always be open to the inspection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7"/>
        <w:gridCol w:w="9838"/>
      </w:tblGrid>
      <w:tr>
        <w:trPr/>
        <w:tc>
          <w:tcPr>
            <w:tcW w:w="367" w:type="dxa"/>
            <w:tcBorders/>
            <w:vAlign w:val="center"/>
          </w:tcPr>
          <w:p>
            <w:pPr>
              <w:pStyle w:val="TableContents"/>
              <w:bidi w:val="0"/>
              <w:spacing w:before="0" w:after="283"/>
              <w:jc w:val="left"/>
              <w:rPr>
                <w:sz w:val="20"/>
              </w:rPr>
            </w:pPr>
            <w:r>
              <w:rPr>
                <w:sz w:val="20"/>
              </w:rPr>
              <w:t>186.</w:t>
            </w:r>
          </w:p>
        </w:tc>
        <w:tc>
          <w:tcPr>
            <w:tcW w:w="9838" w:type="dxa"/>
            <w:tcBorders/>
            <w:vAlign w:val="center"/>
          </w:tcPr>
          <w:p>
            <w:pPr>
              <w:pStyle w:val="TableContents"/>
              <w:bidi w:val="0"/>
              <w:spacing w:before="0" w:after="283"/>
              <w:jc w:val="both"/>
              <w:rPr>
                <w:sz w:val="20"/>
              </w:rPr>
            </w:pPr>
            <w:r>
              <w:rPr>
                <w:sz w:val="20"/>
              </w:rPr>
              <w:t>No Shareholder (not being a Director) or other person shall have any right of inspecting any account or book or document of the Company except as conferred by the Companies Act or ordered by a court of competent jurisdiction or authorised by the Board or the Company in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192"/>
        <w:gridCol w:w="9654"/>
      </w:tblGrid>
      <w:tr>
        <w:trPr/>
        <w:tc>
          <w:tcPr>
            <w:tcW w:w="359" w:type="dxa"/>
            <w:tcBorders/>
            <w:vAlign w:val="center"/>
          </w:tcPr>
          <w:p>
            <w:pPr>
              <w:pStyle w:val="TableContents"/>
              <w:bidi w:val="0"/>
              <w:spacing w:before="0" w:after="283"/>
              <w:jc w:val="left"/>
              <w:rPr>
                <w:sz w:val="20"/>
              </w:rPr>
            </w:pPr>
            <w:r>
              <w:rPr>
                <w:sz w:val="20"/>
              </w:rPr>
              <w:t>187.</w:t>
            </w:r>
          </w:p>
        </w:tc>
        <w:tc>
          <w:tcPr>
            <w:tcW w:w="192" w:type="dxa"/>
            <w:tcBorders/>
            <w:vAlign w:val="center"/>
          </w:tcPr>
          <w:p>
            <w:pPr>
              <w:pStyle w:val="TableContents"/>
              <w:bidi w:val="0"/>
              <w:spacing w:before="0" w:after="283"/>
              <w:jc w:val="both"/>
              <w:rPr>
                <w:sz w:val="20"/>
              </w:rPr>
            </w:pPr>
            <w:r>
              <w:rPr>
                <w:sz w:val="20"/>
              </w:rPr>
              <w:t xml:space="preserve">(a) </w:t>
            </w:r>
          </w:p>
        </w:tc>
        <w:tc>
          <w:tcPr>
            <w:tcW w:w="9654" w:type="dxa"/>
            <w:tcBorders/>
            <w:vAlign w:val="center"/>
          </w:tcPr>
          <w:p>
            <w:pPr>
              <w:pStyle w:val="TableContents"/>
              <w:bidi w:val="0"/>
              <w:spacing w:before="0" w:after="283"/>
              <w:jc w:val="both"/>
              <w:rPr>
                <w:sz w:val="20"/>
              </w:rPr>
            </w:pPr>
            <w:r>
              <w:rPr>
                <w:sz w:val="20"/>
              </w:rPr>
              <w:t>The Board shall from time to time cause to be prepared and laid before the Company at its annual general meeting profit and loss accounts and balance sheets of the Company and such other reports and documents as may be required by law and the Listing Rules. The accounts of the Company shall be prepared and audited based on the generally accepted accounting principles of Hong Kong, the International Accounting Standards, or such other standards as may be permitted by the HK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(b)</w:t>
            </w:r>
          </w:p>
        </w:tc>
        <w:tc>
          <w:tcPr>
            <w:tcW w:w="9941" w:type="dxa"/>
            <w:tcBorders/>
            <w:vAlign w:val="center"/>
          </w:tcPr>
          <w:p>
            <w:pPr>
              <w:pStyle w:val="TableContents"/>
              <w:bidi w:val="0"/>
              <w:spacing w:before="0" w:after="283"/>
              <w:jc w:val="both"/>
              <w:rPr>
                <w:sz w:val="20"/>
              </w:rPr>
            </w:pPr>
            <w:r>
              <w:rPr>
                <w:sz w:val="20"/>
              </w:rPr>
              <w:t>Subject to paragraph (c) below, every balance sheet of the Company shall be signed on behalf of the Board by two of the Directors and a copy of every balance sheet (including every document required by law to be comprised therein or annexed thereto) and profit and loss account which is to be laid before the Company at its annual general meeting, together with a copy of the Directors’ report and a copy of the Auditors’ report thereon, shall, not less than 21 days before the date of the meeting be delivered or sent in accordance with Article 192(b) together with the notice of annual general meeting to every Shareholder and every Debenture Holder of the Company and every other person entitled to receive notices of general meetings of the Company under the provisions of these Articles, provided that this Article shall not require a copy of those documents to be sent to any person of whose address the Company is not aware or to more than one of the joint holders of any Shares or Debentures, but any Shareholder or Debenture Holder to whom a copy of those documents has not been sent shall be entitled to receive a copy free of charge on application at the Head Office or the Registration Office. If all or any of the Shares or Debentures or other securities of the Company shall for the time being be (with the consent of the Company) listed or dealt in on any stock exchange or market, there shall be forwarded to such stock exchange or market such number of copies of such documents as may for the time being be required under its regulations or practice.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(c)</w:t>
            </w:r>
          </w:p>
        </w:tc>
        <w:tc>
          <w:tcPr>
            <w:tcW w:w="9949" w:type="dxa"/>
            <w:tcBorders/>
            <w:vAlign w:val="center"/>
          </w:tcPr>
          <w:p>
            <w:pPr>
              <w:pStyle w:val="TableContents"/>
              <w:bidi w:val="0"/>
              <w:spacing w:before="0" w:after="283"/>
              <w:jc w:val="both"/>
              <w:rPr>
                <w:sz w:val="20"/>
              </w:rPr>
            </w:pPr>
            <w:r>
              <w:rPr>
                <w:sz w:val="20"/>
              </w:rPr>
              <w:t>Subject to the Listing Rules, the Company may send summarised financial statements to Shareholders who has, in accordance with the Listing Rules, consented and elected to receive summarised financial statements instead of the full financial statements. The summarised financial statements must be accompanied by any other documents as may be required under the Listing Rules and must be sent to the Shareholders not less than twenty-one days before the general meeting to those Shareholders that have consented and elected to receive the summarised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180"/>
        <w:gridCol w:w="9671"/>
      </w:tblGrid>
      <w:tr>
        <w:trPr/>
        <w:tc>
          <w:tcPr>
            <w:tcW w:w="354" w:type="dxa"/>
            <w:tcBorders/>
            <w:vAlign w:val="center"/>
          </w:tcPr>
          <w:p>
            <w:pPr>
              <w:pStyle w:val="TableContents"/>
              <w:bidi w:val="0"/>
              <w:spacing w:before="0" w:after="283"/>
              <w:jc w:val="left"/>
              <w:rPr>
                <w:sz w:val="20"/>
              </w:rPr>
            </w:pPr>
            <w:r>
              <w:rPr>
                <w:sz w:val="20"/>
              </w:rPr>
              <w:t>188.</w:t>
            </w:r>
          </w:p>
        </w:tc>
        <w:tc>
          <w:tcPr>
            <w:tcW w:w="180" w:type="dxa"/>
            <w:tcBorders/>
            <w:vAlign w:val="center"/>
          </w:tcPr>
          <w:p>
            <w:pPr>
              <w:pStyle w:val="TableContents"/>
              <w:bidi w:val="0"/>
              <w:spacing w:before="0" w:after="283"/>
              <w:jc w:val="both"/>
              <w:rPr>
                <w:sz w:val="20"/>
              </w:rPr>
            </w:pPr>
            <w:r>
              <w:rPr>
                <w:sz w:val="20"/>
              </w:rPr>
              <w:t xml:space="preserve">(a) </w:t>
            </w:r>
          </w:p>
        </w:tc>
        <w:tc>
          <w:tcPr>
            <w:tcW w:w="9671" w:type="dxa"/>
            <w:tcBorders/>
            <w:vAlign w:val="center"/>
          </w:tcPr>
          <w:p>
            <w:pPr>
              <w:pStyle w:val="TableContents"/>
              <w:bidi w:val="0"/>
              <w:spacing w:before="0" w:after="283"/>
              <w:jc w:val="both"/>
              <w:rPr>
                <w:sz w:val="20"/>
              </w:rPr>
            </w:pPr>
            <w:r>
              <w:rPr>
                <w:sz w:val="20"/>
              </w:rPr>
              <w:t>The Company shall at each annual general meeting appoint one or more firms of auditors to hold office until the conclusion of the next annual general meeting on such terms and with such duties as may be agreed with the Board, but if an appointment is not made, the Auditors in office shall continue in office until a successor is appointed. A Director, officer or employee of any such Director, officer or employee shall not be appointed Auditors of the Company. The Company in general meeting or a body that is independent of the Board may fill any casual vacancy in the office of Auditors, but while any such vacancy continues the surviving or continuing Auditors (if any) may act. The appointment, removal and remuneration of the Auditors must be approved by a majority of the Company’s Shareholders in a general meeting or by another body that is independent of the Board, and the remuneration of any Auditors appointed to fill any casual vacancy may be fixed by the Company in general meeting or by a body that is independent of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sz w:val="20"/>
              </w:rPr>
            </w:pPr>
            <w:r>
              <w:rPr>
                <w:sz w:val="20"/>
              </w:rPr>
              <w:t>(b)</w:t>
            </w:r>
          </w:p>
        </w:tc>
        <w:tc>
          <w:tcPr>
            <w:tcW w:w="9933" w:type="dxa"/>
            <w:tcBorders/>
            <w:vAlign w:val="center"/>
          </w:tcPr>
          <w:p>
            <w:pPr>
              <w:pStyle w:val="TableContents"/>
              <w:bidi w:val="0"/>
              <w:spacing w:before="0" w:after="283"/>
              <w:jc w:val="both"/>
              <w:rPr>
                <w:sz w:val="20"/>
              </w:rPr>
            </w:pPr>
            <w:r>
              <w:rPr>
                <w:sz w:val="20"/>
              </w:rPr>
              <w:t>The Shareholders may, at any general meeting convened and held in accordance with these Articles, remove the Auditors by Ordinary Resolution at any time before the expiration of the term of office and shall, by Ordinary Resolution, at that meeting appoint new auditors in its place for the remainder of the term. A body that is independent of the Board may also remove the Auditor by a simple majority vote before the expiration of the term of office and shall by a simple majority vote appoint new Auditor in its place for the remainder of the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sz w:val="20"/>
              </w:rPr>
            </w:pPr>
            <w:r>
              <w:rPr>
                <w:sz w:val="20"/>
              </w:rPr>
              <w:t>189.</w:t>
            </w:r>
          </w:p>
        </w:tc>
        <w:tc>
          <w:tcPr>
            <w:tcW w:w="9846" w:type="dxa"/>
            <w:tcBorders/>
            <w:vAlign w:val="center"/>
          </w:tcPr>
          <w:p>
            <w:pPr>
              <w:pStyle w:val="TableContents"/>
              <w:bidi w:val="0"/>
              <w:spacing w:before="0" w:after="283"/>
              <w:jc w:val="both"/>
              <w:rPr>
                <w:sz w:val="20"/>
              </w:rPr>
            </w:pPr>
            <w:r>
              <w:rPr>
                <w:sz w:val="20"/>
              </w:rPr>
              <w:t>The Auditors of the Company shall have a right of access at all times to the books and accounts and vouchers of the Company and shall be entitled to require from the Directors and officers of the Company such information as may be necessary for the performance of his or their duties, and the Auditors shall audit every balance sheet and profit and loss account of the Company in each year and prepare an Auditors’ report thereon to be annexed thereto. Such report shall be laid before the Company in the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sz w:val="20"/>
              </w:rPr>
            </w:pPr>
            <w:r>
              <w:rPr>
                <w:sz w:val="20"/>
              </w:rPr>
              <w:t>190.</w:t>
            </w:r>
          </w:p>
        </w:tc>
        <w:tc>
          <w:tcPr>
            <w:tcW w:w="9848" w:type="dxa"/>
            <w:tcBorders/>
            <w:vAlign w:val="center"/>
          </w:tcPr>
          <w:p>
            <w:pPr>
              <w:pStyle w:val="TableContents"/>
              <w:bidi w:val="0"/>
              <w:spacing w:before="0" w:after="283"/>
              <w:jc w:val="both"/>
              <w:rPr>
                <w:sz w:val="20"/>
              </w:rPr>
            </w:pPr>
            <w:r>
              <w:rPr>
                <w:sz w:val="20"/>
              </w:rPr>
              <w:t>No person other than the retiring Auditors shall be appointed as Auditors at an annual general meeting unless notice of an intention to nominate that person to the office of Auditors has been given to the Company not less than 14 clear days before the annual general meeting, and the Company shall send a copy of any such notice to the retiring Auditors and shall give notice thereof to the Shareholders not less than seven days before the annual general meeting provided that the above requirement for sending a copy of such notice to the retiring Auditors may be waived by notice in writing by the retiring Auditors to the Secretary.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sz w:val="20"/>
              </w:rPr>
            </w:pPr>
            <w:r>
              <w:rPr>
                <w:sz w:val="20"/>
              </w:rPr>
              <w:t>191.</w:t>
            </w:r>
          </w:p>
        </w:tc>
        <w:tc>
          <w:tcPr>
            <w:tcW w:w="9839" w:type="dxa"/>
            <w:tcBorders/>
            <w:vAlign w:val="center"/>
          </w:tcPr>
          <w:p>
            <w:pPr>
              <w:pStyle w:val="TableContents"/>
              <w:bidi w:val="0"/>
              <w:spacing w:before="0" w:after="283"/>
              <w:jc w:val="both"/>
              <w:rPr>
                <w:sz w:val="20"/>
              </w:rPr>
            </w:pPr>
            <w:r>
              <w:rPr>
                <w:sz w:val="20"/>
              </w:rPr>
              <w:t>All acts done by any person acting as Auditors shall, as regards all persons dealing in good faith with the Company, be valid, notwithstanding that there was some defect in their appointment or that they were at the time of their appointment not qualified for appointment or subsequently became disqualified.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187"/>
        <w:gridCol w:w="9655"/>
      </w:tblGrid>
      <w:tr>
        <w:trPr/>
        <w:tc>
          <w:tcPr>
            <w:tcW w:w="363" w:type="dxa"/>
            <w:tcBorders/>
            <w:vAlign w:val="center"/>
          </w:tcPr>
          <w:p>
            <w:pPr>
              <w:pStyle w:val="TableContents"/>
              <w:bidi w:val="0"/>
              <w:spacing w:before="0" w:after="283"/>
              <w:jc w:val="left"/>
              <w:rPr>
                <w:sz w:val="20"/>
              </w:rPr>
            </w:pPr>
            <w:r>
              <w:rPr>
                <w:sz w:val="20"/>
              </w:rPr>
              <w:t>192.</w:t>
            </w:r>
          </w:p>
        </w:tc>
        <w:tc>
          <w:tcPr>
            <w:tcW w:w="187" w:type="dxa"/>
            <w:tcBorders/>
            <w:vAlign w:val="center"/>
          </w:tcPr>
          <w:p>
            <w:pPr>
              <w:pStyle w:val="TableContents"/>
              <w:bidi w:val="0"/>
              <w:spacing w:before="0" w:after="283"/>
              <w:jc w:val="both"/>
              <w:rPr>
                <w:sz w:val="20"/>
              </w:rPr>
            </w:pPr>
            <w:r>
              <w:rPr>
                <w:sz w:val="20"/>
              </w:rPr>
              <w:t>(a)</w:t>
            </w:r>
          </w:p>
        </w:tc>
        <w:tc>
          <w:tcPr>
            <w:tcW w:w="9655" w:type="dxa"/>
            <w:tcBorders/>
            <w:vAlign w:val="center"/>
          </w:tcPr>
          <w:p>
            <w:pPr>
              <w:pStyle w:val="TableContents"/>
              <w:bidi w:val="0"/>
              <w:spacing w:before="0" w:after="283"/>
              <w:jc w:val="both"/>
              <w:rPr>
                <w:sz w:val="20"/>
              </w:rPr>
            </w:pPr>
            <w:r>
              <w:rPr>
                <w:sz w:val="20"/>
              </w:rPr>
              <w:t>Except where otherwise expressly stated, any notice or document to be given to or by any person pursuant to these Articles shall be in writing or, to the extent permitted by the Companies Act and the Listing Rules from time to time and subject to this Article, contained in an electronic communication. A notice calling a meeting of the Board need not be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20"/>
              </w:rPr>
            </w:pPr>
            <w:r>
              <w:rPr>
                <w:sz w:val="20"/>
              </w:rPr>
              <w:t>(b)</w:t>
            </w:r>
          </w:p>
        </w:tc>
        <w:tc>
          <w:tcPr>
            <w:tcW w:w="9941" w:type="dxa"/>
            <w:tcBorders/>
            <w:vAlign w:val="center"/>
          </w:tcPr>
          <w:p>
            <w:pPr>
              <w:pStyle w:val="TableContents"/>
              <w:bidi w:val="0"/>
              <w:spacing w:before="0" w:after="283"/>
              <w:jc w:val="both"/>
              <w:rPr>
                <w:sz w:val="20"/>
              </w:rPr>
            </w:pPr>
            <w:r>
              <w:rPr>
                <w:sz w:val="20"/>
              </w:rPr>
              <w:t>Except where otherwise expressly stated, any notice or document to be given to or by any person pursuant to these Articles (including any corporate communications within the meaning ascribed thereto under the Listing Rules) may be served on or delivered to any Shareholder either personally or by sending it through the post in a prepaid envelope or wrapper addressed to such Shareholder at his registered address as appearing in the Register or by leaving it at that address addressed to the Shareholder or by any other means authorised in writing by the Shareholder concerned or (other than share certificate) by publishing it by way of advertisement in the Newspapers. In case of joint holders of a share, all notices shall be given to that one of the joint holders whose name stands first in the Register and notice so given shall be sufficient notice to all the joint holders. Without limiting the generality of the foregoing but subject to applicable laws (including the Companies Act and the Listing Rules), a notice or document may be served or delivered by the Company to any Shareholder by electronic means to such address as may from time to time be authorised by the Shareholder concerned or by publishing it on both the Company’s and the Stock Exchange’s websites and notifying the Shareholder concerned that it has been so published.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20"/>
              </w:rPr>
            </w:pPr>
            <w:r>
              <w:rPr>
                <w:sz w:val="20"/>
              </w:rPr>
              <w:t>(c)</w:t>
            </w:r>
          </w:p>
        </w:tc>
        <w:tc>
          <w:tcPr>
            <w:tcW w:w="9947" w:type="dxa"/>
            <w:tcBorders/>
            <w:vAlign w:val="center"/>
          </w:tcPr>
          <w:p>
            <w:pPr>
              <w:pStyle w:val="TableContents"/>
              <w:bidi w:val="0"/>
              <w:spacing w:before="0" w:after="283"/>
              <w:jc w:val="both"/>
              <w:rPr>
                <w:sz w:val="20"/>
              </w:rPr>
            </w:pPr>
            <w:r>
              <w:rPr>
                <w:sz w:val="20"/>
              </w:rPr>
              <w:t>Any such notice or document may be served or delivered by the Company by reference to the Register as it stands at any time not more than fifteen days before the date of service or delivery. No change in the Register after that time shall invalidate that service or delivery. Where any notice or document is served or delivered to any person in respect of a share in accordance with these Articles, no person deriving any title or interest in that share shall be entitled to any further service or delivery of that notice or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(d)</w:t>
            </w:r>
          </w:p>
        </w:tc>
        <w:tc>
          <w:tcPr>
            <w:tcW w:w="9923" w:type="dxa"/>
            <w:tcBorders/>
            <w:vAlign w:val="center"/>
          </w:tcPr>
          <w:p>
            <w:pPr>
              <w:pStyle w:val="TableContents"/>
              <w:bidi w:val="0"/>
              <w:spacing w:before="0" w:after="283"/>
              <w:jc w:val="both"/>
              <w:rPr>
                <w:sz w:val="20"/>
              </w:rPr>
            </w:pPr>
            <w:r>
              <w:rPr>
                <w:sz w:val="20"/>
              </w:rPr>
              <w:t>Any notice or document required to be sent to or served upon the Company, or upon any officer of the Company, may be sent or served by leaving the same or sending it through the post in a prepaid envelope or wrapper addressed to the Company or to such officer at the Head Office or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20"/>
              </w:rPr>
            </w:pPr>
            <w:r>
              <w:rPr>
                <w:sz w:val="20"/>
              </w:rPr>
              <w:t>(e)</w:t>
            </w:r>
          </w:p>
        </w:tc>
        <w:tc>
          <w:tcPr>
            <w:tcW w:w="9947" w:type="dxa"/>
            <w:tcBorders/>
            <w:vAlign w:val="center"/>
          </w:tcPr>
          <w:p>
            <w:pPr>
              <w:pStyle w:val="TableContents"/>
              <w:bidi w:val="0"/>
              <w:spacing w:before="0" w:after="283"/>
              <w:jc w:val="both"/>
              <w:rPr>
                <w:sz w:val="20"/>
              </w:rPr>
            </w:pPr>
            <w:r>
              <w:rPr>
                <w:sz w:val="20"/>
              </w:rPr>
              <w:t>The Board may from time to time specify the form and manner in which a notice may be given to the Company by electronic means, including one or more addresses for the receipt of an electronic communication, and may prescribe such procedures as they think fit for verifying the authenticity or integrity of any such electronic communication. Any notice may be given to the Company by electronic means only if it is given in accordance with the requirements specified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188"/>
        <w:gridCol w:w="9660"/>
      </w:tblGrid>
      <w:tr>
        <w:trPr/>
        <w:tc>
          <w:tcPr>
            <w:tcW w:w="357" w:type="dxa"/>
            <w:tcBorders/>
            <w:vAlign w:val="center"/>
          </w:tcPr>
          <w:p>
            <w:pPr>
              <w:pStyle w:val="TableContents"/>
              <w:bidi w:val="0"/>
              <w:spacing w:before="0" w:after="283"/>
              <w:jc w:val="left"/>
              <w:rPr>
                <w:sz w:val="20"/>
              </w:rPr>
            </w:pPr>
            <w:r>
              <w:rPr>
                <w:sz w:val="20"/>
              </w:rPr>
              <w:t>193.</w:t>
            </w:r>
          </w:p>
        </w:tc>
        <w:tc>
          <w:tcPr>
            <w:tcW w:w="188" w:type="dxa"/>
            <w:tcBorders/>
            <w:vAlign w:val="center"/>
          </w:tcPr>
          <w:p>
            <w:pPr>
              <w:pStyle w:val="TableContents"/>
              <w:bidi w:val="0"/>
              <w:spacing w:before="0" w:after="283"/>
              <w:jc w:val="both"/>
              <w:rPr>
                <w:sz w:val="20"/>
              </w:rPr>
            </w:pPr>
            <w:r>
              <w:rPr>
                <w:sz w:val="20"/>
              </w:rPr>
              <w:t xml:space="preserve">(a) </w:t>
            </w:r>
          </w:p>
        </w:tc>
        <w:tc>
          <w:tcPr>
            <w:tcW w:w="9660" w:type="dxa"/>
            <w:tcBorders/>
            <w:vAlign w:val="center"/>
          </w:tcPr>
          <w:p>
            <w:pPr>
              <w:pStyle w:val="TableContents"/>
              <w:bidi w:val="0"/>
              <w:spacing w:before="0" w:after="283"/>
              <w:jc w:val="both"/>
              <w:rPr>
                <w:sz w:val="20"/>
              </w:rPr>
            </w:pPr>
            <w:r>
              <w:rPr>
                <w:sz w:val="20"/>
              </w:rPr>
              <w:t>Any Shareholder whose registered address is outside the Relevant Territory may notify the Company in writing of (i) an address in the Relevant Territory which for the purpose of service of notice shall be deemed to be their registered address or (ii) an electronic address for the purpose of service of notice. Where the registered address of the Shareholder is outside the Relevant Territory, notice, (i) if given through the post to the registered address which is outside the Relevant Territory, shall be sent by prepaid airmail letter where available, or (ii) if served by electronic means, shall be sent in accordance with Article 198(b).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(b)</w:t>
            </w:r>
          </w:p>
        </w:tc>
        <w:tc>
          <w:tcPr>
            <w:tcW w:w="9942" w:type="dxa"/>
            <w:tcBorders/>
            <w:vAlign w:val="center"/>
          </w:tcPr>
          <w:p>
            <w:pPr>
              <w:pStyle w:val="TableContents"/>
              <w:bidi w:val="0"/>
              <w:spacing w:before="0" w:after="283"/>
              <w:jc w:val="both"/>
              <w:rPr>
                <w:sz w:val="20"/>
              </w:rPr>
            </w:pPr>
            <w:r>
              <w:rPr>
                <w:sz w:val="20"/>
              </w:rPr>
              <w:t>Any Shareholder who fails (and, where a Share is held by joint holders, where the first joint holder named on the Register fails) to supply their registered address or a correct registered address or, in the case of electronic communications, fails to supply their electronic address or a correct and functional electronic address, to the Company for service of notices and documents on such Shareholder shall not (and where a Share is held by joint holders, none of the other joint holders whether or not they have supplied a registered address shall) be entitled to service of any notice or documents by the Company and any notice or document which is otherwise required to be served on such Shareholder may, if the Board in its absolute discretion so elects (and subject to them re-electing otherwise from time to time), be served, in the case of notices, by displaying a copy of such notice conspicuously at the Registered Office and the Head Office or, if the Board sees fit, by advertisement in the Newspapers, and, in the case of documents, by posting up a notice conspicuously at the Registered Office and the Head Office addressed to such Shareholder which notice shall state the address within the Relevant Territory at which such Shareholder may obtain a copy of the relevant document, or by displaying or otherwise making available the relevant notice or document on the Company’s website and stating the address within the Relevant Territory at which such Shareholder may obtain a copy of the notice or the document. Any notice or document served in the manner so described shall be sufficient service as regards Shareholders with no registered or incorrect addresses, or in the case of electronic communications, no or an incorrect or a non-functional electronic address, provided that nothing in this paragraph (b) shall be construed as requiring the Company to serve any notice or document on any Shareholder with no or an incorrect registered address for the service of notice or document on such Shareholder or on any Shareholder other than the first named on the Register.</w:t>
            </w:r>
          </w:p>
        </w:tc>
      </w:tr>
    </w:tbl>
    <w:p>
      <w:pPr>
        <w:pStyle w:val="TextBody"/>
        <w:bidi w:val="0"/>
        <w:spacing w:before="0" w:after="0"/>
        <w:ind w:left="127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20"/>
              </w:rPr>
            </w:pPr>
            <w:r>
              <w:rPr>
                <w:sz w:val="20"/>
              </w:rPr>
              <w:t>(c)</w:t>
            </w:r>
          </w:p>
        </w:tc>
        <w:tc>
          <w:tcPr>
            <w:tcW w:w="9953" w:type="dxa"/>
            <w:tcBorders/>
            <w:vAlign w:val="center"/>
          </w:tcPr>
          <w:p>
            <w:pPr>
              <w:pStyle w:val="TableContents"/>
              <w:bidi w:val="0"/>
              <w:spacing w:before="0" w:after="283"/>
              <w:jc w:val="both"/>
              <w:rPr>
                <w:sz w:val="20"/>
              </w:rPr>
            </w:pPr>
            <w:r>
              <w:rPr>
                <w:sz w:val="20"/>
              </w:rPr>
              <w:t>If on three consecutive occasions notices or other documents have been sent through the post to any Shareholder (or, in the case of joint holders of a share, the first holder named on the Register) at the registered address of such Shareholder or by electronic means to the electronic address of such Shareholder but have been returned undelivered, such Shareholder (and, in the case of joint holders of a Share, all other joint holders of the share) shall not thereafter be entitled to receive or be served (save as the Board may elect otherwise pursuant to paragraph (b) of this Article) and shall be deemed to have waived the service of notices and other documents from the Company until such Shareholder shall have communicated with the Company and supplied in writing a new registered address or a new electronic address for the service of notices on such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20"/>
              </w:rPr>
            </w:pPr>
            <w:r>
              <w:rPr>
                <w:sz w:val="20"/>
              </w:rPr>
              <w:t>(d)</w:t>
            </w:r>
          </w:p>
        </w:tc>
        <w:tc>
          <w:tcPr>
            <w:tcW w:w="9928" w:type="dxa"/>
            <w:tcBorders/>
            <w:vAlign w:val="center"/>
          </w:tcPr>
          <w:p>
            <w:pPr>
              <w:pStyle w:val="TableContents"/>
              <w:bidi w:val="0"/>
              <w:spacing w:before="0" w:after="283"/>
              <w:jc w:val="both"/>
              <w:rPr>
                <w:sz w:val="20"/>
              </w:rPr>
            </w:pPr>
            <w:r>
              <w:rPr>
                <w:sz w:val="20"/>
              </w:rPr>
              <w:t>Notwithstanding any election by a Shareholder from time to time to receive any notice or document through electronic means, such Shareholder may, at any time, require the Company to send to such Shareholder, in addition to an electronic copy thereof, a printed copy of any notice or document which such Shareholder is entitled to receive in such person’s capacity as a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sz w:val="20"/>
              </w:rPr>
            </w:pPr>
            <w:r>
              <w:rPr>
                <w:sz w:val="20"/>
              </w:rPr>
              <w:t>194.</w:t>
            </w:r>
          </w:p>
        </w:tc>
        <w:tc>
          <w:tcPr>
            <w:tcW w:w="9852" w:type="dxa"/>
            <w:tcBorders/>
            <w:vAlign w:val="center"/>
          </w:tcPr>
          <w:p>
            <w:pPr>
              <w:pStyle w:val="TableContents"/>
              <w:bidi w:val="0"/>
              <w:spacing w:before="0" w:after="283"/>
              <w:jc w:val="both"/>
              <w:rPr>
                <w:sz w:val="20"/>
              </w:rPr>
            </w:pPr>
            <w:r>
              <w:rPr>
                <w:sz w:val="20"/>
              </w:rPr>
              <w:t>Any notice or other document, if sent by mail, postage prepaid, shall be deemed to have been served or delivered on the day following that on which the letter, envelope, or wrapper containing the same is put into the post. In proving such service it shall be sufficient to prove that the letter, envelope or wrapper containing the notice or document was properly addressed and put into the post as prepaid mail. Any notice or document not sent by post but left by the Company at a registered address shall be deemed to have been served or delivered on the day it was so left. Any notice or document, if sent by electronic means (including through any relevant system), shall be deemed to have been given on the day following that on which the electronic communication was sent by or on behalf of the Company. Any notice or document served or delivered by the Company by any other means authorised in writing by the Shareholder concerned shall be deemed to have been served when the Company has carried out the action it has been authorised to take for that purpose. Any notice or other document published by way of advertisement (to the extent permitted by applicable laws) shall be deemed to have been served or delivered on the day it was so published. Any notice or other document published on a website or websites (other than pursuant to Article 193(b)) shall be deemed to have been served or delivered on the date that the Shareholder concerned is notified that it has been so published.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sz w:val="20"/>
              </w:rPr>
            </w:pPr>
            <w:r>
              <w:rPr>
                <w:sz w:val="20"/>
              </w:rPr>
              <w:t>195.</w:t>
            </w:r>
          </w:p>
        </w:tc>
        <w:tc>
          <w:tcPr>
            <w:tcW w:w="9849" w:type="dxa"/>
            <w:tcBorders/>
            <w:vAlign w:val="center"/>
          </w:tcPr>
          <w:p>
            <w:pPr>
              <w:pStyle w:val="TableContents"/>
              <w:bidi w:val="0"/>
              <w:spacing w:before="0" w:after="283"/>
              <w:jc w:val="both"/>
              <w:rPr>
                <w:sz w:val="20"/>
              </w:rPr>
            </w:pPr>
            <w:r>
              <w:rPr>
                <w:sz w:val="20"/>
              </w:rPr>
              <w:t>A notice or document may be given by the Company to the person entitled to a Share in consequence of the death, mental disorder, bankruptcy or liquidation of a Shareholder by sending it via electronic means or through the post in a prepaid envelope or wrapper addressed to him by name, or by the title of representative of the deceased, the trustee of the bankrupt or the liquidator of the Shareholder, or by any like description, at the electronic or postal address, if any, supplied for the purpose by the person claiming to be so entitled, or (until such electronic or postal address has been so supplied) by giving the notice or document in any manner in which the same might have been given if the death, mental disorder, bankruptcy or winding up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sz w:val="20"/>
              </w:rPr>
            </w:pPr>
            <w:r>
              <w:rPr>
                <w:sz w:val="20"/>
              </w:rPr>
              <w:t>196.</w:t>
            </w:r>
          </w:p>
        </w:tc>
        <w:tc>
          <w:tcPr>
            <w:tcW w:w="9839" w:type="dxa"/>
            <w:tcBorders/>
            <w:vAlign w:val="center"/>
          </w:tcPr>
          <w:p>
            <w:pPr>
              <w:pStyle w:val="TableContents"/>
              <w:bidi w:val="0"/>
              <w:spacing w:before="0" w:after="283"/>
              <w:jc w:val="both"/>
              <w:rPr>
                <w:sz w:val="20"/>
              </w:rPr>
            </w:pPr>
            <w:r>
              <w:rPr>
                <w:sz w:val="20"/>
              </w:rPr>
              <w:t>Any person who by operation of law, transfer or other means whatsoever shall become entitled to any Share shall be bound by every notice in respect of such share which prior to his name and address being entered on the Register shall have been duly served to the person from whom he derives his title to such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197.</w:t>
            </w:r>
          </w:p>
        </w:tc>
        <w:tc>
          <w:tcPr>
            <w:tcW w:w="9851" w:type="dxa"/>
            <w:tcBorders/>
            <w:vAlign w:val="center"/>
          </w:tcPr>
          <w:p>
            <w:pPr>
              <w:pStyle w:val="TableContents"/>
              <w:bidi w:val="0"/>
              <w:spacing w:before="0" w:after="283"/>
              <w:jc w:val="both"/>
              <w:rPr>
                <w:sz w:val="20"/>
              </w:rPr>
            </w:pPr>
            <w:r>
              <w:rPr>
                <w:sz w:val="20"/>
              </w:rPr>
              <w:t>Any notice or document delivered or sent by post or by electronic communications to any Shareholder, or published on both the Company’s website and the website of the HK Stock Exchange where a notice of such publication has been sent by post or by electronic communications to any Shareholder, or left at the registered address of any Shareholder in pursuance of these Articles, shall notwithstanding that such Shareholder be then deceased, bankrupt or wound up and whether or not the Company has notice of his death, bankruptcy or winding up, be deemed to have duly served in respect of any registered Shares whether held solely or jointly with other persons by such Shareholder until some other person be registered in his stead as the holder or joint holder thereof, and such service shall for all purposes of these Articles be deemed a sufficient service of such notice or document on his personal representatives and all persons (if any) jointly interested with him in any such Shares.</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395"/>
        <w:gridCol w:w="7805"/>
      </w:tblGrid>
      <w:tr>
        <w:trPr/>
        <w:tc>
          <w:tcPr>
            <w:tcW w:w="395" w:type="dxa"/>
            <w:tcBorders/>
            <w:vAlign w:val="center"/>
          </w:tcPr>
          <w:p>
            <w:pPr>
              <w:pStyle w:val="TableContents"/>
              <w:bidi w:val="0"/>
              <w:spacing w:before="0" w:after="283"/>
              <w:jc w:val="left"/>
              <w:rPr>
                <w:sz w:val="20"/>
              </w:rPr>
            </w:pPr>
            <w:r>
              <w:rPr>
                <w:sz w:val="20"/>
              </w:rPr>
              <w:t>198.</w:t>
            </w:r>
          </w:p>
        </w:tc>
        <w:tc>
          <w:tcPr>
            <w:tcW w:w="7805" w:type="dxa"/>
            <w:tcBorders/>
            <w:vAlign w:val="center"/>
          </w:tcPr>
          <w:p>
            <w:pPr>
              <w:pStyle w:val="TableContents"/>
              <w:bidi w:val="0"/>
              <w:spacing w:before="0" w:after="283"/>
              <w:jc w:val="both"/>
              <w:rPr>
                <w:sz w:val="20"/>
              </w:rPr>
            </w:pPr>
            <w:r>
              <w:rPr>
                <w:sz w:val="20"/>
              </w:rPr>
              <w:t>The signature to any notice or document to be given by the Company may be written or printed.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sz w:val="20"/>
              </w:rPr>
            </w:pPr>
            <w:r>
              <w:rPr>
                <w:sz w:val="20"/>
              </w:rPr>
              <w:t>199.</w:t>
            </w:r>
          </w:p>
        </w:tc>
        <w:tc>
          <w:tcPr>
            <w:tcW w:w="9844" w:type="dxa"/>
            <w:tcBorders/>
            <w:vAlign w:val="center"/>
          </w:tcPr>
          <w:p>
            <w:pPr>
              <w:pStyle w:val="TableContents"/>
              <w:bidi w:val="0"/>
              <w:spacing w:before="0" w:after="283"/>
              <w:jc w:val="both"/>
              <w:rPr>
                <w:sz w:val="20"/>
              </w:rPr>
            </w:pPr>
            <w:r>
              <w:rPr>
                <w:sz w:val="20"/>
              </w:rPr>
              <w:t>No Shareholder (not being a Director) shall be entitled to require discovery of or any information respecting any detail of the Company’s trading or any matter which is or may be in the nature of a trade secret, mystery of trade or secret process which may relate to the conduct of the business of the Company which in the opinion of the Board will be inexpedient in the interests of the Shareholders of the Company to communicate to the public.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sz w:val="20"/>
              </w:rPr>
            </w:pPr>
            <w:r>
              <w:rPr>
                <w:sz w:val="20"/>
              </w:rPr>
              <w:t>200.</w:t>
            </w:r>
          </w:p>
        </w:tc>
        <w:tc>
          <w:tcPr>
            <w:tcW w:w="9825" w:type="dxa"/>
            <w:tcBorders/>
            <w:vAlign w:val="center"/>
          </w:tcPr>
          <w:p>
            <w:pPr>
              <w:pStyle w:val="TableContents"/>
              <w:bidi w:val="0"/>
              <w:spacing w:before="0" w:after="283"/>
              <w:jc w:val="both"/>
              <w:rPr>
                <w:sz w:val="20"/>
              </w:rPr>
            </w:pPr>
            <w:r>
              <w:rPr>
                <w:sz w:val="20"/>
              </w:rPr>
              <w:t>Subject to the Companies Act, a resolution that the Company be wound up by the Court or be wound up voluntarily which shall be passed by way of a Special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sz w:val="20"/>
              </w:rPr>
            </w:pPr>
            <w:r>
              <w:rPr>
                <w:sz w:val="20"/>
              </w:rPr>
              <w:t>201.</w:t>
            </w:r>
          </w:p>
        </w:tc>
        <w:tc>
          <w:tcPr>
            <w:tcW w:w="9847" w:type="dxa"/>
            <w:tcBorders/>
            <w:vAlign w:val="center"/>
          </w:tcPr>
          <w:p>
            <w:pPr>
              <w:pStyle w:val="TableContents"/>
              <w:bidi w:val="0"/>
              <w:spacing w:before="0" w:after="283"/>
              <w:jc w:val="both"/>
              <w:rPr>
                <w:sz w:val="20"/>
              </w:rPr>
            </w:pPr>
            <w:r>
              <w:rPr>
                <w:sz w:val="20"/>
              </w:rPr>
              <w:t>If the Company shall be wound up, the surplus assets remaining after payment to all creditors shall be divided among the Shareholders in proportion to the capital paid up on the Shares held by them respectively, and if such surplus assets shall be insufficient to repay the whole of the paid up capital, they shall be distributed, subject to the rights of any Shares which may be issued on special terms and conditions, so that, as nearly as may be, the losses shall be borne by the Shareholders in proportion to the capital paid on the Shares held by them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sz w:val="20"/>
              </w:rPr>
            </w:pPr>
            <w:r>
              <w:rPr>
                <w:sz w:val="20"/>
              </w:rPr>
              <w:t>202.</w:t>
            </w:r>
          </w:p>
        </w:tc>
        <w:tc>
          <w:tcPr>
            <w:tcW w:w="9850" w:type="dxa"/>
            <w:tcBorders/>
            <w:vAlign w:val="center"/>
          </w:tcPr>
          <w:p>
            <w:pPr>
              <w:pStyle w:val="TableContents"/>
              <w:bidi w:val="0"/>
              <w:spacing w:before="0" w:after="283"/>
              <w:jc w:val="both"/>
              <w:rPr>
                <w:sz w:val="20"/>
              </w:rPr>
            </w:pPr>
            <w:r>
              <w:rPr>
                <w:sz w:val="20"/>
              </w:rPr>
              <w:t>If the Company shall be wound up (in whatever manner) the liquidator may, with the sanction of a Special Resolution and any other sanction required by the Companies Act, divide among the Shareholders in specie or kind the whole or any part of the assets of the Company whether the assets shall consist of property of one kind or shall consist of properties of different kinds and the liquidator may, for such purpose, set such value as he deems fair upon any one or more class or classes of property to be divided as aforesaid and may determine how such division shall be carried out as between the Shareholders or different classes of Shareholders and the Shareholders within each class. The liquidator may, with the like sanction, vest any part of the assets in trustees upon such trusts for the benefit of Shareholders as the liquidator, with the like sanction, shall think fit, but so that no Shareholder shall be compelled to accept any Shares or other assets upon which there is a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sz w:val="20"/>
              </w:rPr>
            </w:pPr>
            <w:r>
              <w:rPr>
                <w:sz w:val="20"/>
              </w:rPr>
              <w:t>203.</w:t>
            </w:r>
          </w:p>
        </w:tc>
        <w:tc>
          <w:tcPr>
            <w:tcW w:w="9853" w:type="dxa"/>
            <w:tcBorders/>
            <w:vAlign w:val="center"/>
          </w:tcPr>
          <w:p>
            <w:pPr>
              <w:pStyle w:val="TableContents"/>
              <w:bidi w:val="0"/>
              <w:spacing w:before="0" w:after="283"/>
              <w:jc w:val="both"/>
              <w:rPr>
                <w:sz w:val="20"/>
              </w:rPr>
            </w:pPr>
            <w:r>
              <w:rPr>
                <w:sz w:val="20"/>
              </w:rPr>
              <w:t>The Directors, managing directors, alternate Directors, Auditors, Secretary and other officers for the time being of the Company and the trustees (if any) for the time being acting in relation to any of the affairs of the Company, and their respective executors or administrators, shall be indemnified and secured harmless out of the assets of the Company from and against all actions, costs, charges, losses, damages and expenses which they or any of them, their or any of their executors or administrators, shall or may incur or sustain by reason of any act done, concurred in or omitted in or about the execution of their duty or supposed duty in their respective offices or trusts, except such (if any) as they shall incur or sustain through their own fraud or dishonesty, and none of them shall be answerable for the acts, receipts, neglects or defaults of any other of them, or for joining in any receipt for the sake of conformity, or for any bankers or other persons with whom any moneys or effects of the Company shall be lodged or deposited for safe custody, or for the insufficiency or deficiency of any security upon which any moneys of the Company shall be placed out or invested, or for any other loss, misfortune or damage which may arise in the execution of their respective offices or trusts, or in relation thereto, except as the same shall happen by or through their own fraud, dishonest, or recklessness. The Company may take out and pay the premium and other moneys for the maintenance of insurance, bonds and other instruments for the benefit either of the Company or the Directors (and/or other officers) or any of them to indemnify the Company and/or Directors (and/or other officers) named therein for this purpose against any loss, damage, liability and claim which they may suffer or sustain in connection with any breach by the Directors (and/or other officers) or any of them of their duties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UNTRACEABLE SHAREHOLDERS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sz w:val="20"/>
              </w:rPr>
            </w:pPr>
            <w:r>
              <w:rPr>
                <w:sz w:val="20"/>
              </w:rPr>
              <w:t>204.</w:t>
            </w:r>
          </w:p>
        </w:tc>
        <w:tc>
          <w:tcPr>
            <w:tcW w:w="9837" w:type="dxa"/>
            <w:tcBorders/>
            <w:vAlign w:val="center"/>
          </w:tcPr>
          <w:p>
            <w:pPr>
              <w:pStyle w:val="TableContents"/>
              <w:bidi w:val="0"/>
              <w:spacing w:before="0" w:after="283"/>
              <w:jc w:val="both"/>
              <w:rPr>
                <w:sz w:val="20"/>
              </w:rPr>
            </w:pPr>
            <w:r>
              <w:rPr>
                <w:sz w:val="20"/>
              </w:rPr>
              <w:t>The Company may exercise the power to cease sending cheques for Dividend entitlements or Dividend warrants by post if such cheques or warrants remain uncashed on two consecutive occasions or after the first occasion on which such a cheque or warrant is returned undelivered.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241"/>
        <w:gridCol w:w="9584"/>
      </w:tblGrid>
      <w:tr>
        <w:trPr/>
        <w:tc>
          <w:tcPr>
            <w:tcW w:w="380" w:type="dxa"/>
            <w:tcBorders/>
            <w:vAlign w:val="center"/>
          </w:tcPr>
          <w:p>
            <w:pPr>
              <w:pStyle w:val="TableContents"/>
              <w:bidi w:val="0"/>
              <w:spacing w:before="0" w:after="283"/>
              <w:jc w:val="left"/>
              <w:rPr>
                <w:sz w:val="20"/>
              </w:rPr>
            </w:pPr>
            <w:r>
              <w:rPr>
                <w:sz w:val="20"/>
              </w:rPr>
              <w:t>205.</w:t>
            </w:r>
          </w:p>
        </w:tc>
        <w:tc>
          <w:tcPr>
            <w:tcW w:w="241" w:type="dxa"/>
            <w:tcBorders/>
            <w:vAlign w:val="center"/>
          </w:tcPr>
          <w:p>
            <w:pPr>
              <w:pStyle w:val="TableContents"/>
              <w:bidi w:val="0"/>
              <w:spacing w:before="0" w:after="283"/>
              <w:jc w:val="both"/>
              <w:rPr>
                <w:sz w:val="20"/>
              </w:rPr>
            </w:pPr>
            <w:r>
              <w:rPr>
                <w:sz w:val="20"/>
              </w:rPr>
              <w:t xml:space="preserve">(a) </w:t>
            </w:r>
          </w:p>
        </w:tc>
        <w:tc>
          <w:tcPr>
            <w:tcW w:w="9584" w:type="dxa"/>
            <w:tcBorders/>
            <w:vAlign w:val="center"/>
          </w:tcPr>
          <w:p>
            <w:pPr>
              <w:pStyle w:val="TableContents"/>
              <w:bidi w:val="0"/>
              <w:spacing w:before="0" w:after="283"/>
              <w:jc w:val="both"/>
              <w:rPr>
                <w:sz w:val="20"/>
              </w:rPr>
            </w:pPr>
            <w:r>
              <w:rPr>
                <w:sz w:val="20"/>
              </w:rPr>
              <w:t>The Company shall have the power to sell, in such manner as the Board thinks fit, any Shares of a Shareholder who is untraceable, but no such sale shall be made unless: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20"/>
              </w:rPr>
            </w:pPr>
            <w:r>
              <w:rPr>
                <w:sz w:val="20"/>
              </w:rPr>
              <w:t>(i)</w:t>
            </w:r>
          </w:p>
        </w:tc>
        <w:tc>
          <w:tcPr>
            <w:tcW w:w="9972" w:type="dxa"/>
            <w:tcBorders/>
            <w:vAlign w:val="center"/>
          </w:tcPr>
          <w:p>
            <w:pPr>
              <w:pStyle w:val="TableContents"/>
              <w:bidi w:val="0"/>
              <w:spacing w:before="0" w:after="283"/>
              <w:jc w:val="both"/>
              <w:rPr>
                <w:sz w:val="20"/>
              </w:rPr>
            </w:pPr>
            <w:r>
              <w:rPr>
                <w:sz w:val="20"/>
              </w:rPr>
              <w:t>during the period of 12 years prior to the date of the advertisements referred to in sub-paragraph (ii) below (or, if published more than once, the first thereof) at least three Dividends or other distributions in respect of the Shares in question have become payable or been made and no Dividend or other distribution in respect of the Shares during that period has been claimed;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sz w:val="20"/>
              </w:rPr>
            </w:pPr>
            <w:r>
              <w:rPr>
                <w:sz w:val="20"/>
              </w:rPr>
              <w:t>(ii)</w:t>
            </w:r>
          </w:p>
        </w:tc>
        <w:tc>
          <w:tcPr>
            <w:tcW w:w="9902" w:type="dxa"/>
            <w:tcBorders/>
            <w:vAlign w:val="center"/>
          </w:tcPr>
          <w:p>
            <w:pPr>
              <w:pStyle w:val="TableContents"/>
              <w:bidi w:val="0"/>
              <w:spacing w:before="0" w:after="283"/>
              <w:jc w:val="both"/>
              <w:rPr>
                <w:sz w:val="20"/>
              </w:rPr>
            </w:pPr>
            <w:r>
              <w:rPr>
                <w:sz w:val="20"/>
              </w:rPr>
              <w:t>the Company has caused an advertisement to be inserted in the Newspapers of its intention to sell such Shares and a period of three months has elapsed since the date of such advertisement (or, if published more than once, the first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9"/>
        <w:gridCol w:w="9841"/>
      </w:tblGrid>
      <w:tr>
        <w:trPr/>
        <w:tc>
          <w:tcPr>
            <w:tcW w:w="75"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sz w:val="20"/>
              </w:rPr>
            </w:pPr>
            <w:r>
              <w:rPr>
                <w:sz w:val="20"/>
              </w:rPr>
              <w:t>(iii)</w:t>
            </w:r>
          </w:p>
        </w:tc>
        <w:tc>
          <w:tcPr>
            <w:tcW w:w="9841" w:type="dxa"/>
            <w:tcBorders/>
            <w:vAlign w:val="center"/>
          </w:tcPr>
          <w:p>
            <w:pPr>
              <w:pStyle w:val="TableContents"/>
              <w:bidi w:val="0"/>
              <w:spacing w:before="0" w:after="283"/>
              <w:jc w:val="both"/>
              <w:rPr>
                <w:sz w:val="20"/>
              </w:rPr>
            </w:pPr>
            <w:r>
              <w:rPr>
                <w:sz w:val="20"/>
              </w:rPr>
              <w:t>the Company has not at any time during the said periods of 12 years and three months received any indication of the existence of the holder of such Shares or of a person entitled to such Shares by death, bankruptcy or operation of law; and</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305"/>
        <w:gridCol w:w="63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(iv)</w:t>
            </w:r>
          </w:p>
        </w:tc>
        <w:tc>
          <w:tcPr>
            <w:tcW w:w="6395" w:type="dxa"/>
            <w:tcBorders/>
            <w:vAlign w:val="center"/>
          </w:tcPr>
          <w:p>
            <w:pPr>
              <w:pStyle w:val="TableContents"/>
              <w:bidi w:val="0"/>
              <w:spacing w:before="0" w:after="283"/>
              <w:jc w:val="left"/>
              <w:rPr>
                <w:sz w:val="20"/>
              </w:rPr>
            </w:pPr>
            <w:r>
              <w:rPr>
                <w:sz w:val="20"/>
              </w:rPr>
              <w:t>the Company has notified the HK Stock Exchange of its intention of such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(b)</w:t>
            </w:r>
          </w:p>
        </w:tc>
        <w:tc>
          <w:tcPr>
            <w:tcW w:w="9940" w:type="dxa"/>
            <w:tcBorders/>
            <w:vAlign w:val="center"/>
          </w:tcPr>
          <w:p>
            <w:pPr>
              <w:pStyle w:val="TableContents"/>
              <w:bidi w:val="0"/>
              <w:spacing w:before="0" w:after="283"/>
              <w:jc w:val="both"/>
              <w:rPr>
                <w:sz w:val="20"/>
              </w:rPr>
            </w:pPr>
            <w:r>
              <w:rPr>
                <w:sz w:val="20"/>
              </w:rPr>
              <w:t>To give effect to any such sale the Board may authorise any person to transfer the said Shares and the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proceeds it shall become indebted to the former Shareholder for an amount equal to such net proceeds. Notwithstanding any entries made by the Company in any of its books or otherwise howsoever, no trusts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Shareholder holding the Shares sold is dead, bankrupt, wound up or otherwise under any legal disability or incapacity.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DESTRUCTION OF DOCUMENTS</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395"/>
        <w:gridCol w:w="2285"/>
      </w:tblGrid>
      <w:tr>
        <w:trPr/>
        <w:tc>
          <w:tcPr>
            <w:tcW w:w="395" w:type="dxa"/>
            <w:tcBorders/>
            <w:vAlign w:val="center"/>
          </w:tcPr>
          <w:p>
            <w:pPr>
              <w:pStyle w:val="TableContents"/>
              <w:bidi w:val="0"/>
              <w:spacing w:before="0" w:after="283"/>
              <w:jc w:val="left"/>
              <w:rPr>
                <w:sz w:val="20"/>
              </w:rPr>
            </w:pPr>
            <w:r>
              <w:rPr>
                <w:sz w:val="20"/>
              </w:rPr>
              <w:t>206.</w:t>
            </w:r>
          </w:p>
        </w:tc>
        <w:tc>
          <w:tcPr>
            <w:tcW w:w="2285" w:type="dxa"/>
            <w:tcBorders/>
            <w:vAlign w:val="center"/>
          </w:tcPr>
          <w:p>
            <w:pPr>
              <w:pStyle w:val="TableContents"/>
              <w:bidi w:val="0"/>
              <w:spacing w:before="0" w:after="283"/>
              <w:jc w:val="left"/>
              <w:rPr>
                <w:sz w:val="20"/>
              </w:rPr>
            </w:pPr>
            <w:r>
              <w:rPr>
                <w:sz w:val="20"/>
              </w:rPr>
              <w:t>The Company may destroy:</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230"/>
        <w:gridCol w:w="97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(a)</w:t>
            </w:r>
          </w:p>
        </w:tc>
        <w:tc>
          <w:tcPr>
            <w:tcW w:w="9785" w:type="dxa"/>
            <w:tcBorders/>
            <w:vAlign w:val="center"/>
          </w:tcPr>
          <w:p>
            <w:pPr>
              <w:pStyle w:val="TableContents"/>
              <w:bidi w:val="0"/>
              <w:spacing w:before="0" w:after="283"/>
              <w:jc w:val="both"/>
              <w:rPr>
                <w:sz w:val="20"/>
              </w:rPr>
            </w:pPr>
            <w:r>
              <w:rPr>
                <w:sz w:val="20"/>
              </w:rPr>
              <w:t>any share certificate which has been cancelled at any time after the expiry of one year from the date of such cancellation;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20"/>
              </w:rPr>
            </w:pPr>
            <w:r>
              <w:rPr>
                <w:sz w:val="20"/>
              </w:rPr>
              <w:t>(b)</w:t>
            </w:r>
          </w:p>
        </w:tc>
        <w:tc>
          <w:tcPr>
            <w:tcW w:w="9919" w:type="dxa"/>
            <w:tcBorders/>
            <w:vAlign w:val="center"/>
          </w:tcPr>
          <w:p>
            <w:pPr>
              <w:pStyle w:val="TableContents"/>
              <w:bidi w:val="0"/>
              <w:spacing w:before="0" w:after="283"/>
              <w:jc w:val="both"/>
              <w:rPr>
                <w:sz w:val="20"/>
              </w:rPr>
            </w:pPr>
            <w:r>
              <w:rPr>
                <w:sz w:val="20"/>
              </w:rPr>
              <w:t>any dividend mandate or any variation or cancellation thereof or any notification of change of name or address at any time after the expiry of two years from the date on which such mandate, variation, cancellation or notification was recorded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(c)</w:t>
            </w:r>
          </w:p>
        </w:tc>
        <w:tc>
          <w:tcPr>
            <w:tcW w:w="9905" w:type="dxa"/>
            <w:tcBorders/>
            <w:vAlign w:val="center"/>
          </w:tcPr>
          <w:p>
            <w:pPr>
              <w:pStyle w:val="TableContents"/>
              <w:bidi w:val="0"/>
              <w:spacing w:before="0" w:after="283"/>
              <w:jc w:val="both"/>
              <w:rPr>
                <w:sz w:val="20"/>
              </w:rPr>
            </w:pPr>
            <w:r>
              <w:rPr>
                <w:sz w:val="20"/>
              </w:rPr>
              <w:t>any instrument of transfer of Shares which has been registered at any time after the expiry of six years from the date of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20"/>
              </w:rPr>
            </w:pPr>
            <w:r>
              <w:rPr>
                <w:sz w:val="20"/>
              </w:rPr>
              <w:t>(d)</w:t>
            </w:r>
          </w:p>
        </w:tc>
        <w:tc>
          <w:tcPr>
            <w:tcW w:w="9909" w:type="dxa"/>
            <w:tcBorders/>
            <w:vAlign w:val="center"/>
          </w:tcPr>
          <w:p>
            <w:pPr>
              <w:pStyle w:val="TableContents"/>
              <w:bidi w:val="0"/>
              <w:spacing w:before="0" w:after="283"/>
              <w:jc w:val="both"/>
              <w:rPr>
                <w:sz w:val="20"/>
              </w:rPr>
            </w:pPr>
            <w:r>
              <w:rPr>
                <w:sz w:val="20"/>
              </w:rPr>
              <w:t>any other document, on the basis of which any entry in the Register is made, at any time after the expiry of six years from the date on which an entry in the Register was first made in respect of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it shall conclusively be presumed in favour of the Company that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20"/>
              </w:rPr>
            </w:pPr>
            <w:r>
              <w:rPr>
                <w:sz w:val="20"/>
              </w:rPr>
              <w:t>(i)</w:t>
            </w:r>
          </w:p>
        </w:tc>
        <w:tc>
          <w:tcPr>
            <w:tcW w:w="9957" w:type="dxa"/>
            <w:tcBorders/>
            <w:vAlign w:val="center"/>
          </w:tcPr>
          <w:p>
            <w:pPr>
              <w:pStyle w:val="TableContents"/>
              <w:bidi w:val="0"/>
              <w:spacing w:before="0" w:after="283"/>
              <w:jc w:val="both"/>
              <w:rPr>
                <w:sz w:val="20"/>
              </w:rPr>
            </w:pPr>
            <w:r>
              <w:rPr>
                <w:sz w:val="20"/>
              </w:rPr>
              <w:t>the foregoing provisions of this Article shall apply only to the destruction of a document in good faith and without express notice to the Company that the preservation of such document was relevant to a claim;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(ii)</w:t>
            </w:r>
          </w:p>
        </w:tc>
        <w:tc>
          <w:tcPr>
            <w:tcW w:w="9903" w:type="dxa"/>
            <w:tcBorders/>
            <w:vAlign w:val="center"/>
          </w:tcPr>
          <w:p>
            <w:pPr>
              <w:pStyle w:val="TableContents"/>
              <w:bidi w:val="0"/>
              <w:spacing w:before="0" w:after="283"/>
              <w:jc w:val="both"/>
              <w:rPr>
                <w:sz w:val="20"/>
              </w:rPr>
            </w:pPr>
            <w:r>
              <w:rPr>
                <w:sz w:val="20"/>
              </w:rPr>
              <w:t>nothing contained in this Article shall be construed as imposing upon the Company any liability in respect of the destruction of any such document earlier than as aforesaid or in any case where the conditions of proviso (i) above are not fulfilled; and</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320"/>
        <w:gridCol w:w="873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(iii)</w:t>
            </w:r>
          </w:p>
        </w:tc>
        <w:tc>
          <w:tcPr>
            <w:tcW w:w="8735" w:type="dxa"/>
            <w:tcBorders/>
            <w:vAlign w:val="center"/>
          </w:tcPr>
          <w:p>
            <w:pPr>
              <w:pStyle w:val="TableContents"/>
              <w:bidi w:val="0"/>
              <w:spacing w:before="0" w:after="283"/>
              <w:jc w:val="both"/>
              <w:rPr>
                <w:sz w:val="20"/>
              </w:rPr>
            </w:pPr>
            <w:r>
              <w:rPr>
                <w:sz w:val="20"/>
              </w:rPr>
              <w:t>references in this Article to the destruction of any document include reference to its disposal in any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 RESERVE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
        <w:gridCol w:w="9816"/>
      </w:tblGrid>
      <w:tr>
        <w:trPr/>
        <w:tc>
          <w:tcPr>
            <w:tcW w:w="389" w:type="dxa"/>
            <w:tcBorders/>
            <w:vAlign w:val="center"/>
          </w:tcPr>
          <w:p>
            <w:pPr>
              <w:pStyle w:val="TableContents"/>
              <w:bidi w:val="0"/>
              <w:spacing w:before="0" w:after="283"/>
              <w:jc w:val="left"/>
              <w:rPr>
                <w:sz w:val="20"/>
              </w:rPr>
            </w:pPr>
            <w:r>
              <w:rPr>
                <w:sz w:val="20"/>
              </w:rPr>
              <w:t>207.</w:t>
            </w:r>
          </w:p>
        </w:tc>
        <w:tc>
          <w:tcPr>
            <w:tcW w:w="9816" w:type="dxa"/>
            <w:tcBorders/>
            <w:vAlign w:val="center"/>
          </w:tcPr>
          <w:p>
            <w:pPr>
              <w:pStyle w:val="TableContents"/>
              <w:bidi w:val="0"/>
              <w:spacing w:before="0" w:after="283"/>
              <w:jc w:val="left"/>
              <w:rPr>
                <w:sz w:val="20"/>
              </w:rPr>
            </w:pPr>
            <w:r>
              <w:rPr>
                <w:sz w:val="20"/>
              </w:rPr>
              <w:t>The following provisions shall have effect to the extent that they are not prohibited by and are in compliance with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(a)</w:t>
            </w:r>
          </w:p>
        </w:tc>
        <w:tc>
          <w:tcPr>
            <w:tcW w:w="9945" w:type="dxa"/>
            <w:tcBorders/>
            <w:vAlign w:val="center"/>
          </w:tcPr>
          <w:p>
            <w:pPr>
              <w:pStyle w:val="TableContents"/>
              <w:bidi w:val="0"/>
              <w:spacing w:before="0" w:after="283"/>
              <w:jc w:val="both"/>
              <w:rPr>
                <w:sz w:val="20"/>
              </w:rPr>
            </w:pPr>
            <w:r>
              <w:rPr>
                <w:sz w:val="20"/>
              </w:rPr>
              <w:t>If, so long as any of the rights attaching to any warrants issued by the Company to subscribe for Shares shall remain exercisable, the Company does any act or engages in any transaction which, as a result of any adjustments to the subscription price in accordance with the provisions applicable under the terms and conditions of the warrants, would reduce the subscription price to below the par value of a Share, then the following provisions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20"/>
              </w:rPr>
            </w:pPr>
            <w:r>
              <w:rPr>
                <w:sz w:val="20"/>
              </w:rPr>
              <w:t>(i)</w:t>
            </w:r>
          </w:p>
        </w:tc>
        <w:tc>
          <w:tcPr>
            <w:tcW w:w="9982" w:type="dxa"/>
            <w:tcBorders/>
            <w:vAlign w:val="center"/>
          </w:tcPr>
          <w:p>
            <w:pPr>
              <w:pStyle w:val="TableContents"/>
              <w:bidi w:val="0"/>
              <w:spacing w:before="0" w:after="283"/>
              <w:jc w:val="both"/>
              <w:rPr>
                <w:sz w:val="20"/>
              </w:rPr>
            </w:pPr>
            <w:r>
              <w:rPr>
                <w:sz w:val="20"/>
              </w:rPr>
              <w:t>as from the date of such act or transaction the Company shall establish and thereafter (subject as provided in this Article) maintain in accordance with the provisions of this Article a reserve (the “</w:t>
            </w:r>
            <w:r>
              <w:rPr>
                <w:b/>
                <w:sz w:val="20"/>
              </w:rPr>
              <w:t>Subscription Right Reserve</w:t>
            </w:r>
            <w:r>
              <w:rPr>
                <w:sz w:val="20"/>
              </w:rPr>
              <w:t>”)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(iii) below on the exercise in full of all the subscription rights outstanding and shall apply the Subscription Right Reserve in paying up in full the amount of the shortfall referred to in sub-paragraph (iii) in respect of such additional Shares as and when the same are allotted;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sz w:val="20"/>
              </w:rPr>
            </w:pPr>
            <w:r>
              <w:rPr>
                <w:sz w:val="20"/>
              </w:rPr>
              <w:t>(ii)</w:t>
            </w:r>
          </w:p>
        </w:tc>
        <w:tc>
          <w:tcPr>
            <w:tcW w:w="9908" w:type="dxa"/>
            <w:tcBorders/>
            <w:vAlign w:val="center"/>
          </w:tcPr>
          <w:p>
            <w:pPr>
              <w:pStyle w:val="TableContents"/>
              <w:bidi w:val="0"/>
              <w:spacing w:before="0" w:after="283"/>
              <w:jc w:val="both"/>
              <w:rPr>
                <w:sz w:val="20"/>
              </w:rPr>
            </w:pPr>
            <w:r>
              <w:rPr>
                <w:sz w:val="20"/>
              </w:rPr>
              <w:t>the Subscription Right Reserve shall not be used for any purpose other than that specified above unless all other reserves of the Company (other than the share premium account) have been extinguished and will then only be used to make good losses of the Company if and so far as is required by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20"/>
              </w:rPr>
            </w:pPr>
            <w:r>
              <w:rPr>
                <w:sz w:val="20"/>
              </w:rPr>
              <w:t>(iii)</w:t>
            </w:r>
          </w:p>
        </w:tc>
        <w:tc>
          <w:tcPr>
            <w:tcW w:w="9860" w:type="dxa"/>
            <w:tcBorders/>
            <w:vAlign w:val="center"/>
          </w:tcPr>
          <w:p>
            <w:pPr>
              <w:pStyle w:val="TableContents"/>
              <w:bidi w:val="0"/>
              <w:spacing w:before="0" w:after="283"/>
              <w:jc w:val="both"/>
              <w:rPr>
                <w:sz w:val="20"/>
              </w:rPr>
            </w:pPr>
            <w:r>
              <w:rPr>
                <w:sz w:val="20"/>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shortfall between: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sz w:val="20"/>
              </w:rPr>
            </w:pPr>
            <w:r>
              <w:rPr>
                <w:sz w:val="20"/>
              </w:rPr>
              <w:t>(A)</w:t>
            </w:r>
          </w:p>
        </w:tc>
        <w:tc>
          <w:tcPr>
            <w:tcW w:w="9888" w:type="dxa"/>
            <w:tcBorders/>
            <w:vAlign w:val="center"/>
          </w:tcPr>
          <w:p>
            <w:pPr>
              <w:pStyle w:val="TableContents"/>
              <w:bidi w:val="0"/>
              <w:spacing w:before="0" w:after="283"/>
              <w:jc w:val="both"/>
              <w:rPr>
                <w:sz w:val="20"/>
              </w:rPr>
            </w:pPr>
            <w:r>
              <w:rPr>
                <w:sz w:val="20"/>
              </w:rPr>
              <w:t>the said amount in cash which the holder of such warrant is required to pay on exercise of the subscription rights represented thereby (or, as the case may be, the relevant portion thereof in the event of a partial exercise of the subscription rights);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sz w:val="20"/>
              </w:rPr>
            </w:pPr>
            <w:r>
              <w:rPr>
                <w:sz w:val="20"/>
              </w:rPr>
              <w:t>(B)</w:t>
            </w:r>
          </w:p>
        </w:tc>
        <w:tc>
          <w:tcPr>
            <w:tcW w:w="9905" w:type="dxa"/>
            <w:tcBorders/>
            <w:vAlign w:val="center"/>
          </w:tcPr>
          <w:p>
            <w:pPr>
              <w:pStyle w:val="TableContents"/>
              <w:bidi w:val="0"/>
              <w:spacing w:before="0" w:after="283"/>
              <w:jc w:val="both"/>
              <w:rPr>
                <w:sz w:val="20"/>
              </w:rPr>
            </w:pPr>
            <w:r>
              <w:rPr>
                <w:sz w:val="20"/>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 Reserve as is required to pay up in full such additional nominal amount of Shares shall be capitalised and applied in paying up in full such additional nominal amount of Shares which shall forthwith be allotted credited as fully paid to the exercising warrant 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sz w:val="20"/>
              </w:rPr>
            </w:pPr>
            <w:r>
              <w:rPr>
                <w:sz w:val="20"/>
              </w:rPr>
              <w:t>(iv)</w:t>
            </w:r>
          </w:p>
        </w:tc>
        <w:tc>
          <w:tcPr>
            <w:tcW w:w="9881" w:type="dxa"/>
            <w:tcBorders/>
            <w:vAlign w:val="center"/>
          </w:tcPr>
          <w:p>
            <w:pPr>
              <w:pStyle w:val="TableContents"/>
              <w:bidi w:val="0"/>
              <w:spacing w:before="0" w:after="283"/>
              <w:jc w:val="both"/>
              <w:rPr>
                <w:sz w:val="20"/>
              </w:rPr>
            </w:pPr>
            <w:r>
              <w:rPr>
                <w:sz w:val="20"/>
              </w:rPr>
              <w:t>if upon the exercise of the subscription rights represented by any warrant the amount standing to the credit of the Subscription Right Reserve is not sufficient to pay up in full such additional nominal amount of Shares equal to such shortfall as aforesaid to which the exercising warrant holder is entitled, the Board shall apply any profits or reserves then or thereafter becoming available (including, to the extent permitted or not prohibited by law, the share premium account) for such purpose until such additional nominal amount of Shares is paid up and allotted as aforesaid and until then no Dividend or other distribution shall be paid or made on the fully paid Shares then in issue. Pending such payment up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20"/>
              </w:rPr>
            </w:pPr>
            <w:r>
              <w:rPr>
                <w:sz w:val="20"/>
              </w:rPr>
              <w:t>(b)</w:t>
            </w:r>
          </w:p>
        </w:tc>
        <w:tc>
          <w:tcPr>
            <w:tcW w:w="9928" w:type="dxa"/>
            <w:tcBorders/>
            <w:vAlign w:val="center"/>
          </w:tcPr>
          <w:p>
            <w:pPr>
              <w:pStyle w:val="TableContents"/>
              <w:bidi w:val="0"/>
              <w:spacing w:before="0" w:after="283"/>
              <w:jc w:val="both"/>
              <w:rPr>
                <w:sz w:val="20"/>
              </w:rPr>
            </w:pPr>
            <w:r>
              <w:rPr>
                <w:sz w:val="20"/>
              </w:rPr>
              <w:t>Shares allotted pursuant to the provisions of this Article shall rank pari passu in all respects with the other Shares allotted or which ought to be allotted on the relevant exercise of the subscription rights represented by the warrant concerned. Notwithstanding anything contained in paragraph (a) of this Article, no fraction of any Share shall be allotted on exercise of the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(c)</w:t>
            </w:r>
          </w:p>
        </w:tc>
        <w:tc>
          <w:tcPr>
            <w:tcW w:w="9945" w:type="dxa"/>
            <w:tcBorders/>
            <w:vAlign w:val="center"/>
          </w:tcPr>
          <w:p>
            <w:pPr>
              <w:pStyle w:val="TableContents"/>
              <w:bidi w:val="0"/>
              <w:spacing w:before="0" w:after="283"/>
              <w:jc w:val="both"/>
              <w:rPr>
                <w:sz w:val="20"/>
              </w:rPr>
            </w:pPr>
            <w:r>
              <w:rPr>
                <w:sz w:val="20"/>
              </w:rPr>
              <w:t>The provisions of this Article as to the establishment and maintenance of the Subscription Right Reserve shall not be altered or added to in any way which would vary or abrogate, or which would have the effect of varying or abrogating, the provisions for the benefit of any warrant holder or class of warrant holders under this Article without the sanction of a Special Resolution of such warrant holder(s) or class of warrant 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20"/>
              </w:rPr>
            </w:pPr>
            <w:r>
              <w:rPr>
                <w:sz w:val="20"/>
              </w:rPr>
              <w:t>(d)</w:t>
            </w:r>
          </w:p>
        </w:tc>
        <w:tc>
          <w:tcPr>
            <w:tcW w:w="9936" w:type="dxa"/>
            <w:tcBorders/>
            <w:vAlign w:val="center"/>
          </w:tcPr>
          <w:p>
            <w:pPr>
              <w:pStyle w:val="TableContents"/>
              <w:bidi w:val="0"/>
              <w:spacing w:before="0" w:after="283"/>
              <w:jc w:val="both"/>
              <w:rPr>
                <w:sz w:val="20"/>
              </w:rPr>
            </w:pPr>
            <w:r>
              <w:rPr>
                <w:sz w:val="20"/>
              </w:rPr>
              <w:t>A certificate or report by the Auditors as to whether or not the Subscription Right Reserve is required to be established and maintained and if so the amount thereof so required to be established and maintained, as to the purpose for which the Subscription Right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 Reserve shall (in the absence of manifest error) be conclusive and binding upon the Company and all warrant holders and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sz w:val="20"/>
              </w:rPr>
            </w:pPr>
            <w:r>
              <w:rPr>
                <w:sz w:val="20"/>
              </w:rPr>
              <w:t>208.</w:t>
            </w:r>
          </w:p>
        </w:tc>
        <w:tc>
          <w:tcPr>
            <w:tcW w:w="9822" w:type="dxa"/>
            <w:tcBorders/>
            <w:vAlign w:val="center"/>
          </w:tcPr>
          <w:p>
            <w:pPr>
              <w:pStyle w:val="TableContents"/>
              <w:bidi w:val="0"/>
              <w:spacing w:before="0" w:after="283"/>
              <w:jc w:val="both"/>
              <w:rPr>
                <w:sz w:val="20"/>
              </w:rPr>
            </w:pPr>
            <w:r>
              <w:rPr>
                <w:sz w:val="20"/>
              </w:rPr>
              <w:t>The following provisions shall have effect at any time and from time to time provided that they are not prohibited by or inconsistent with the Companies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(a)</w:t>
            </w:r>
          </w:p>
        </w:tc>
        <w:tc>
          <w:tcPr>
            <w:tcW w:w="9924" w:type="dxa"/>
            <w:tcBorders/>
            <w:vAlign w:val="center"/>
          </w:tcPr>
          <w:p>
            <w:pPr>
              <w:pStyle w:val="TableContents"/>
              <w:bidi w:val="0"/>
              <w:spacing w:before="0" w:after="283"/>
              <w:jc w:val="both"/>
              <w:rPr>
                <w:sz w:val="20"/>
              </w:rPr>
            </w:pPr>
            <w:r>
              <w:rPr>
                <w:sz w:val="20"/>
              </w:rPr>
              <w:t>The Company may by Ordinary Resolution convert any fully paid Shares into stock, and may from time to time by like resolution reconvert any stock into fully paid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(b)</w:t>
            </w:r>
          </w:p>
        </w:tc>
        <w:tc>
          <w:tcPr>
            <w:tcW w:w="9934" w:type="dxa"/>
            <w:tcBorders/>
            <w:vAlign w:val="center"/>
          </w:tcPr>
          <w:p>
            <w:pPr>
              <w:pStyle w:val="TableContents"/>
              <w:bidi w:val="0"/>
              <w:spacing w:before="0" w:after="283"/>
              <w:jc w:val="both"/>
              <w:rPr>
                <w:sz w:val="20"/>
              </w:rPr>
            </w:pPr>
            <w:r>
              <w:rPr>
                <w:sz w:val="20"/>
              </w:rPr>
              <w:t>The holders of stock may transfer the same or any part thereof in the same manner, and subject to the same regulations as and subject to which the Shares from which the stock arose might prior to conversion have been transferred or as near thereto as circumstances admit, but the Board may from time to time, if it thinks fit, fix the minimum amount of stock transferable and restrict or prohibit the transfer of fractions of that minimum, but so that such minimum shall not exceed the nominal amount of the Shares from which the stock arose. No warrants to bearer shall be issued in respect of any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sz w:val="20"/>
              </w:rPr>
            </w:pPr>
            <w:r>
              <w:rPr>
                <w:sz w:val="20"/>
              </w:rPr>
              <w:t>(c)</w:t>
            </w:r>
          </w:p>
        </w:tc>
        <w:tc>
          <w:tcPr>
            <w:tcW w:w="9948" w:type="dxa"/>
            <w:tcBorders/>
            <w:vAlign w:val="center"/>
          </w:tcPr>
          <w:p>
            <w:pPr>
              <w:pStyle w:val="TableContents"/>
              <w:bidi w:val="0"/>
              <w:spacing w:before="0" w:after="283"/>
              <w:jc w:val="both"/>
              <w:rPr>
                <w:sz w:val="20"/>
              </w:rPr>
            </w:pPr>
            <w:r>
              <w:rPr>
                <w:sz w:val="20"/>
              </w:rPr>
              <w:t>The holders of stock shall, according to the amount of the stock held by them, have the same rights, privileges and advantages as regards Dividends, participation in assets on a winding up, voting at meetings, and other matters, as if they held the Shares from which the stock arose, but no such rights, privileges or advantages (except participation in the Dividends and profits and in the assets on winding up of the Company) shall be conferred by an amount of stock which would not, if existing in Shares, have conferred such rights, privileges or advantages.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sz w:val="20"/>
              </w:rPr>
            </w:pPr>
            <w:r>
              <w:rPr>
                <w:sz w:val="20"/>
              </w:rPr>
              <w:t>(d)</w:t>
            </w:r>
          </w:p>
        </w:tc>
        <w:tc>
          <w:tcPr>
            <w:tcW w:w="9911" w:type="dxa"/>
            <w:tcBorders/>
            <w:vAlign w:val="center"/>
          </w:tcPr>
          <w:p>
            <w:pPr>
              <w:pStyle w:val="TableContents"/>
              <w:bidi w:val="0"/>
              <w:spacing w:before="0" w:after="283"/>
              <w:jc w:val="both"/>
              <w:rPr>
                <w:sz w:val="20"/>
              </w:rPr>
            </w:pPr>
            <w:r>
              <w:rPr>
                <w:sz w:val="20"/>
              </w:rPr>
              <w:t>Such of the provisions of these Articles as are applicable to fully paid Shares shall apply to stock, and the words “Share” and “Shareholder” herein shall include “stock” and “stockholder” and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ind w:left="0" w:right="0" w:hanging="0"/>
        <w:jc w:val="right"/>
        <w:rPr>
          <w:b/>
        </w:rPr>
      </w:pPr>
      <w:bookmarkStart w:id="40" w:name="ea029837201ex5-1.htm"/>
      <w:bookmarkStart w:id="41" w:name="ksea029837201ex51"/>
      <w:bookmarkEnd w:id="40"/>
      <w:bookmarkEnd w:id="41"/>
      <w:r>
        <w:rPr>
          <w:b/>
        </w:rPr>
        <w:t>Exhibit 5.1</w:t>
      </w:r>
      <w:r>
        <w:br w:type="page"/>
      </w:r>
    </w:p>
    <w:p>
      <w:pPr>
        <w:pStyle w:val="TextBody"/>
        <w:bidi w:val="0"/>
        <w:spacing w:before="0" w:after="283"/>
        <w:jc w:val="left"/>
        <w:rPr/>
      </w:pPr>
      <w:r>
        <w:rPr/>
        <w:t> </w:t>
      </w:r>
    </w:p>
    <w:tbl>
      <w:tblPr>
        <w:tblW w:w="4150" w:type="dxa"/>
        <w:jc w:val="left"/>
        <w:tblInd w:w="0" w:type="dxa"/>
        <w:tblLayout w:type="fixed"/>
        <w:tblCellMar>
          <w:top w:w="0" w:type="dxa"/>
          <w:left w:w="0" w:type="dxa"/>
          <w:bottom w:w="0" w:type="dxa"/>
          <w:right w:w="0" w:type="dxa"/>
        </w:tblCellMar>
      </w:tblPr>
      <w:tblGrid>
        <w:gridCol w:w="1265"/>
        <w:gridCol w:w="2885"/>
      </w:tblGrid>
      <w:tr>
        <w:trPr/>
        <w:tc>
          <w:tcPr>
            <w:tcW w:w="1265" w:type="dxa"/>
            <w:tcBorders/>
            <w:vAlign w:val="center"/>
          </w:tcPr>
          <w:p>
            <w:pPr>
              <w:pStyle w:val="TableContents"/>
              <w:bidi w:val="0"/>
              <w:spacing w:before="0" w:after="283"/>
              <w:jc w:val="left"/>
              <w:rPr/>
            </w:pPr>
            <w:r>
              <w:rPr/>
              <w:t>17 July 2026</w:t>
            </w:r>
          </w:p>
        </w:tc>
        <w:tc>
          <w:tcPr>
            <w:tcW w:w="2885" w:type="dxa"/>
            <w:tcBorders/>
            <w:vAlign w:val="center"/>
          </w:tcPr>
          <w:p>
            <w:pPr>
              <w:pStyle w:val="TableContents"/>
              <w:bidi w:val="0"/>
              <w:spacing w:before="0" w:after="283"/>
              <w:jc w:val="right"/>
              <w:rPr>
                <w:sz w:val="20"/>
              </w:rPr>
            </w:pPr>
            <w:r>
              <w:rPr>
                <w:sz w:val="20"/>
              </w:rPr>
              <w:t xml:space="preserve">Our Ref: </w:t>
            </w:r>
            <w:r>
              <w:rPr>
                <w:sz w:val="20"/>
                <w:shd w:fill="FFFFFF" w:val="clear"/>
              </w:rPr>
              <w:t>MRC/KH/A6519-H29328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left"/>
        <w:rPr>
          <w:caps w:val="false"/>
          <w:smallCaps w:val="false"/>
        </w:rPr>
      </w:pPr>
      <w:r>
        <w:rPr>
          <w:rFonts w:eastAsia="Times New Roman;Times;Serif"/>
          <w:b/>
          <w:i w:val="false"/>
          <w:caps w:val="false"/>
          <w:smallCaps w:val="false"/>
          <w:sz w:val="20"/>
        </w:rPr>
        <w:t>亞盛醫藥集團</w:t>
      </w:r>
      <w:r>
        <w:rPr>
          <w:rFonts w:eastAsia="Times New Roman;Times;Serif"/>
          <w:b w:val="false"/>
          <w:i w:val="false"/>
          <w:caps w:val="false"/>
          <w:smallCaps w:val="false"/>
          <w:sz w:val="20"/>
        </w:rPr>
        <w:t xml:space="preserve"> </w:t>
      </w:r>
      <w:r>
        <w:rPr>
          <w:rFonts w:ascii="Times New Roman;Times;Serif" w:hAnsi="Times New Roman;Times;Serif"/>
          <w:b w:val="false"/>
          <w:i w:val="false"/>
          <w:caps/>
          <w:sz w:val="20"/>
        </w:rPr>
        <w:br/>
      </w:r>
      <w:r>
        <w:rPr>
          <w:rFonts w:ascii="Times New Roman;Times;Serif" w:hAnsi="Times New Roman;Times;Serif"/>
          <w:b w:val="false"/>
          <w:i w:val="false"/>
          <w:caps w:val="false"/>
          <w:smallCaps w:val="false"/>
          <w:sz w:val="20"/>
        </w:rPr>
        <w:t>c/o Walkers Corporate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Elgin Avenue, George Town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 xml:space="preserve">ASCENTAGE PHARMA GROUP INTERNATIONAL </w:t>
      </w:r>
      <w:r>
        <w:rPr>
          <w:rFonts w:eastAsia="Times New Roman;Times;Serif"/>
          <w:b/>
          <w:i w:val="false"/>
          <w:caps w:val="false"/>
          <w:smallCaps w:val="false"/>
          <w:sz w:val="20"/>
        </w:rPr>
        <w:t>亞盛醫藥集團</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We have acted as Cayman Islands legal advisers to Ascentage Pharma Group International </w:t>
      </w:r>
      <w:r>
        <w:rPr>
          <w:rFonts w:eastAsia="Times New Roman;Times;Serif"/>
          <w:b w:val="false"/>
          <w:i w:val="false"/>
          <w:caps w:val="false"/>
          <w:smallCaps w:val="false"/>
          <w:sz w:val="20"/>
        </w:rPr>
        <w:t xml:space="preserve">亞盛醫藥集團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including the Base Prospectus and the Sales Agreement Prospectus (as such terms are defined below, and collectively,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to be filed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with respect to (a) the registration for the offering and sale, from time to time, by the Company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an indeterminate number of shares of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four ordinary shares of a par value of US$0.0001 per ordinary share of the Company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(b) the offering and sale, from time to time, by the Company of ADSs, each representing four Ordinary Shares, up to an aggregate offering price of US$200,000,000, pursuant to the Sales Agreement (the “</w:t>
      </w:r>
      <w:r>
        <w:rPr>
          <w:rFonts w:ascii="Times New Roman;Times;Serif" w:hAnsi="Times New Roman;Times;Serif"/>
          <w:b/>
          <w:i w:val="false"/>
          <w:caps w:val="false"/>
          <w:smallCaps w:val="false"/>
          <w:sz w:val="20"/>
        </w:rPr>
        <w:t>Placement ADSs</w:t>
      </w:r>
      <w:r>
        <w:rPr>
          <w:rFonts w:ascii="Times New Roman;Times;Serif" w:hAnsi="Times New Roman;Times;Serif"/>
          <w:b w:val="false"/>
          <w:i w:val="false"/>
          <w:caps w:val="false"/>
          <w:smallCaps w:val="false"/>
          <w:sz w:val="20"/>
        </w:rPr>
        <w:t>”). We consent to the inclusion of our opinion as Exhibit 5.1, Exhibit 8.1 and in connection with Exhibit 23.2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and relied upon the originals, copies or translations of the documents listed in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independently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any of the documents cited in this opinion nor upon matters of fact or the commercial terms of the transactions the subject of this opinion.</w:t>
      </w:r>
    </w:p>
    <w:p>
      <w:pPr>
        <w:pStyle w:val="TextBody"/>
        <w:bidi w:val="0"/>
        <w:spacing w:before="0" w:after="0"/>
        <w:ind w:left="0" w:right="0" w:hanging="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examinations and assumptions stated herein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1.</w:t>
            </w:r>
          </w:p>
        </w:tc>
        <w:tc>
          <w:tcPr>
            <w:tcW w:w="10003" w:type="dxa"/>
            <w:tcBorders/>
            <w:vAlign w:val="center"/>
          </w:tcPr>
          <w:p>
            <w:pPr>
              <w:pStyle w:val="TableContents"/>
              <w:bidi w:val="0"/>
              <w:spacing w:before="0" w:after="283"/>
              <w:jc w:val="both"/>
              <w:rPr/>
            </w:pPr>
            <w:r>
              <w:rPr/>
              <w:t>The Company is an exempted company duly incorporated with limited liability, validly existing under the laws of the Cayman Islands and is in good standing with the Registrar of Companies in the Cayman Islands (the “</w:t>
            </w:r>
            <w:r>
              <w:rPr>
                <w:b/>
              </w:rPr>
              <w:t>Registrar</w:t>
            </w:r>
            <w:r>
              <w:rPr/>
              <w:t>”).</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2.</w:t>
            </w:r>
          </w:p>
        </w:tc>
        <w:tc>
          <w:tcPr>
            <w:tcW w:w="9988" w:type="dxa"/>
            <w:tcBorders/>
            <w:vAlign w:val="center"/>
          </w:tcPr>
          <w:p>
            <w:pPr>
              <w:pStyle w:val="TableContents"/>
              <w:bidi w:val="0"/>
              <w:spacing w:before="0" w:after="283"/>
              <w:jc w:val="both"/>
              <w:rPr/>
            </w:pPr>
            <w:r>
              <w:rPr/>
              <w:t>The authorised share capital of the Company is currently US$50,000 consisting of 500,000,000 shares of a nominal or par value of US$0.0001 each.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With respect to the Ordinary Shares represented by the Placement ADSs when (a) the provisions of the Sales Agreement approved by the Company’s board of directors have been satisfied and payment of the consideration specified therein (being not less than their par value) has been made; and (b) valid book-entry notations are made in the register of members of the Company, then the Ordinary Shares represented by the Placement ADSs, will have been duly authorised and validly issued, fully paid and non-assessable (meaning that no additional sums may be levied on the holder thereof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both"/>
              <w:rPr>
                <w:shd w:fill="FFFFFF" w:val="clear"/>
              </w:rPr>
            </w:pPr>
            <w:r>
              <w:rPr>
                <w:shd w:fill="FFFFFF" w:val="clear"/>
              </w:rPr>
              <w:t>The statements under the captions “Enforcement of Civil Liabilities”, “Taxation – Cayman Islands Taxation” in the Registration Statement, to the extent that they constitute statements of Cayman Islands law, are accurate in all material respects.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in, and the filing hereof, as an exhibit to the Registration Statement and further consent to all references to our name in the Registration Statement. In giving such consent, we do not thereby admit that we come within the category of persons whose consent is required under Section 7 of the U.S. Securities Act of 1933, as amended,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Walkers (Hong Kong)</w:t>
      </w:r>
    </w:p>
    <w:p>
      <w:pPr>
        <w:pStyle w:val="TextBody"/>
        <w:bidi w:val="0"/>
        <w:spacing w:before="0" w:after="0"/>
        <w:ind w:left="0" w:right="0" w:hanging="0"/>
        <w:jc w:val="left"/>
        <w:rPr>
          <w:caps/>
        </w:rPr>
      </w:pPr>
      <w:r>
        <w:rPr>
          <w:caps/>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DOCUMENTS EXAMINED</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The Certificate of Incorporation dated 17 November 2017, the Certificate of Incorporation on Change of Name dated 1 August 2019, the Second Amended and Restated Memorandum and Articles of Association as adopted by special resolutions passed on 19 May 2022 (the “</w:t>
            </w:r>
            <w:r>
              <w:rPr>
                <w:b/>
              </w:rPr>
              <w:t>Memorandum and Articles</w:t>
            </w:r>
            <w:r>
              <w:rPr/>
              <w:t>”), the Register of Members printed on 25 June 2026 (the “</w:t>
            </w:r>
            <w:r>
              <w:rPr>
                <w:b/>
              </w:rPr>
              <w:t>Register of Members</w:t>
            </w:r>
            <w:r>
              <w:rPr/>
              <w:t>”) and the Register of Directors printed on 17 July 2026, in each case, copies of which have been provided to us by the Company or its registered office in the Cayman Islands (together the “</w:t>
            </w:r>
            <w:r>
              <w:rPr>
                <w:b/>
              </w:rPr>
              <w:t>Company Records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Cayman Online Registry Information System (CORIS), the Cayman Islands’ General Registry’s online database, searched on 16 July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The Register of Writs and other Originating Process of the Grand Court maintained by the Clerk of Court’s Office, George Town, Grand Cayman (the “</w:t>
            </w:r>
            <w:r>
              <w:rPr>
                <w:b/>
              </w:rPr>
              <w:t>Court Register”</w:t>
            </w:r>
            <w:r>
              <w:rPr/>
              <w:t>), as at 9.00 a.m. Cayman Islands time on 16 July 2026 (the “</w:t>
            </w:r>
            <w:r>
              <w:rPr>
                <w:b/>
              </w:rPr>
              <w:t>Search Time”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both"/>
              <w:rPr/>
            </w:pPr>
            <w:r>
              <w:rPr/>
              <w:t>A Certificate of Good Standing dated 15 July 2026 in respect of the Company issued by the Registrar (the “</w:t>
            </w:r>
            <w:r>
              <w:rPr>
                <w:b/>
              </w:rPr>
              <w:t>Certificate of Good Standing</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5.</w:t>
            </w:r>
          </w:p>
        </w:tc>
        <w:tc>
          <w:tcPr>
            <w:tcW w:w="9977" w:type="dxa"/>
            <w:tcBorders/>
            <w:vAlign w:val="center"/>
          </w:tcPr>
          <w:p>
            <w:pPr>
              <w:pStyle w:val="TableContents"/>
              <w:bidi w:val="0"/>
              <w:spacing w:before="0" w:after="283"/>
              <w:jc w:val="both"/>
              <w:rPr/>
            </w:pPr>
            <w:r>
              <w:rPr/>
              <w:t>A copy of executed written resolutions of the board of directors of the Company dated 17 July 2026 (the “</w:t>
            </w:r>
            <w:r>
              <w:rPr>
                <w:rFonts w:ascii="Times New Roman;Times;Serif" w:hAnsi="Times New Roman;Times;Serif"/>
                <w:b/>
              </w:rPr>
              <w:t>Resolutions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6.</w:t>
            </w:r>
          </w:p>
        </w:tc>
        <w:tc>
          <w:tcPr>
            <w:tcW w:w="9986" w:type="dxa"/>
            <w:tcBorders/>
            <w:vAlign w:val="center"/>
          </w:tcPr>
          <w:p>
            <w:pPr>
              <w:pStyle w:val="TableContents"/>
              <w:bidi w:val="0"/>
              <w:spacing w:before="0" w:after="283"/>
              <w:jc w:val="both"/>
              <w:rPr/>
            </w:pPr>
            <w:r>
              <w:rPr/>
              <w:t>The Company’s registration statement on Form F-3ASR filed by the Company with the SEC on 17 July 2026 (the “</w:t>
            </w:r>
            <w:r>
              <w:rPr>
                <w:b/>
              </w:rPr>
              <w:t>Registration Statement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7.</w:t>
            </w:r>
          </w:p>
        </w:tc>
        <w:tc>
          <w:tcPr>
            <w:tcW w:w="10000" w:type="dxa"/>
            <w:tcBorders/>
            <w:vAlign w:val="center"/>
          </w:tcPr>
          <w:p>
            <w:pPr>
              <w:pStyle w:val="TableContents"/>
              <w:bidi w:val="0"/>
              <w:spacing w:before="0" w:after="283"/>
              <w:jc w:val="both"/>
              <w:rPr/>
            </w:pPr>
            <w:r>
              <w:rPr/>
              <w:t>The base prospectus dated on 17 July 2026 contained in the Registration Statement, relating to the offer and sale, from time to time, of the Company’s securities as described therein (the “</w:t>
            </w:r>
            <w:r>
              <w:rPr>
                <w:b/>
              </w:rPr>
              <w:t>Base Prospectus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8.</w:t>
            </w:r>
          </w:p>
        </w:tc>
        <w:tc>
          <w:tcPr>
            <w:tcW w:w="10004" w:type="dxa"/>
            <w:tcBorders/>
            <w:vAlign w:val="center"/>
          </w:tcPr>
          <w:p>
            <w:pPr>
              <w:pStyle w:val="TableContents"/>
              <w:bidi w:val="0"/>
              <w:spacing w:before="0" w:after="283"/>
              <w:jc w:val="both"/>
              <w:rPr/>
            </w:pPr>
            <w:r>
              <w:rPr/>
              <w:t>The sales agreement prospectus dated on 17 July 2026 contained in the Registration Statement, relating to the offer and sale, from time to time, of the Placement ADSs pursuant to the Sales Agreement (the “</w:t>
            </w:r>
            <w:r>
              <w:rPr>
                <w:b/>
              </w:rPr>
              <w:t>Sales Agreement Prospectus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9.</w:t>
            </w:r>
          </w:p>
        </w:tc>
        <w:tc>
          <w:tcPr>
            <w:tcW w:w="10000" w:type="dxa"/>
            <w:tcBorders/>
            <w:vAlign w:val="center"/>
          </w:tcPr>
          <w:p>
            <w:pPr>
              <w:pStyle w:val="TableContents"/>
              <w:bidi w:val="0"/>
              <w:spacing w:before="0" w:after="283"/>
              <w:jc w:val="both"/>
              <w:rPr/>
            </w:pPr>
            <w:r>
              <w:rPr/>
              <w:t>A copy of the sales agreement dated on 17 July 2026 by and among the Company and Citigroup Global Markets Inc., Deutsche Bank AG, and BTIG, LLC, acting as sales agents (the “</w:t>
            </w:r>
            <w:r>
              <w:rPr>
                <w:b/>
              </w:rPr>
              <w:t>Sales Agreement</w:t>
            </w:r>
            <w:r>
              <w:rPr/>
              <w:t>”).</w:t>
            </w:r>
          </w:p>
        </w:tc>
      </w:tr>
    </w:tbl>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r>
        <w:rPr>
          <w:rFonts w:ascii="Times New Roman;Times;Serif" w:hAnsi="Times New Roman;Times;Serif"/>
          <w:b/>
          <w:i w:val="false"/>
          <w:caps/>
          <w:sz w:val="20"/>
          <w:shd w:fill="FFFFFF" w:val="clea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All authorisations, approvals, consents, licences and exemptions required by, and all filings and other steps required of each of the parties to the Registration Statement outside the Cayman Islands to ensure the legality, validity and enforceability of the Registration Statement have been or will be duly obtained, made or fulfilled and are and will remain in full force and effect and any conditions to which they are subject have been satisfied.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2.</w:t>
            </w:r>
          </w:p>
        </w:tc>
        <w:tc>
          <w:tcPr>
            <w:tcW w:w="9975" w:type="dxa"/>
            <w:tcBorders/>
            <w:vAlign w:val="center"/>
          </w:tcPr>
          <w:p>
            <w:pPr>
              <w:pStyle w:val="TableContents"/>
              <w:bidi w:val="0"/>
              <w:spacing w:before="0" w:after="283"/>
              <w:jc w:val="both"/>
              <w:rPr/>
            </w:pPr>
            <w:r>
              <w:rPr/>
              <w:t>The Resolutions are and shall remain in full force and effect and have not been and will not be rescinded or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283"/>
              <w:jc w:val="both"/>
              <w:rPr/>
            </w:pPr>
            <w:r>
              <w:rPr/>
              <w:t>The originals of all documents examined in connection with this opinion are authentic.  The documents conform in every material respect to the latest draft of the same produced to us and, where provided in successive drafts, have been marked up to indicate all changes to such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4.</w:t>
            </w:r>
          </w:p>
        </w:tc>
        <w:tc>
          <w:tcPr>
            <w:tcW w:w="9988" w:type="dxa"/>
            <w:tcBorders/>
            <w:vAlign w:val="center"/>
          </w:tcPr>
          <w:p>
            <w:pPr>
              <w:pStyle w:val="TableContents"/>
              <w:bidi w:val="0"/>
              <w:spacing w:before="0" w:after="283"/>
              <w:jc w:val="both"/>
              <w:rPr/>
            </w:pPr>
            <w:r>
              <w:rPr/>
              <w:t>The Memorandum and Articles reviewed by us are the memorandum and articles of association of the Company that are in effect on the date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5.</w:t>
            </w:r>
          </w:p>
        </w:tc>
        <w:tc>
          <w:tcPr>
            <w:tcW w:w="9996" w:type="dxa"/>
            <w:tcBorders/>
            <w:vAlign w:val="center"/>
          </w:tcPr>
          <w:p>
            <w:pPr>
              <w:pStyle w:val="TableContents"/>
              <w:bidi w:val="0"/>
              <w:spacing w:before="0" w:after="283"/>
              <w:jc w:val="both"/>
              <w:rPr/>
            </w:pPr>
            <w:r>
              <w:rPr/>
              <w:t>The Company Records are complete and accurate and all matters required by law and the Memorandum and Articles to be recorded therein are completely and accurately so recorded.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1" w:type="dxa"/>
            <w:tcBorders/>
            <w:vAlign w:val="center"/>
          </w:tcPr>
          <w:p>
            <w:pPr>
              <w:pStyle w:val="TableContents"/>
              <w:bidi w:val="0"/>
              <w:spacing w:before="0" w:after="283"/>
              <w:jc w:val="both"/>
              <w:rPr/>
            </w:pPr>
            <w:r>
              <w:rPr/>
              <w:t>The Registration Statement and the documents or agreements referred to therein have been or will be duly authorised, executed and delivered by or on behalf of all relevant parties prior to the issue and sale of the Placement Shares and will be legal, valid, binding and enforceable against all relevant parties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7.</w:t>
            </w:r>
          </w:p>
        </w:tc>
        <w:tc>
          <w:tcPr>
            <w:tcW w:w="9979" w:type="dxa"/>
            <w:tcBorders/>
            <w:vAlign w:val="center"/>
          </w:tcPr>
          <w:p>
            <w:pPr>
              <w:pStyle w:val="TableContents"/>
              <w:bidi w:val="0"/>
              <w:spacing w:before="0" w:after="283"/>
              <w:jc w:val="both"/>
              <w:rPr/>
            </w:pPr>
            <w:r>
              <w:rPr/>
              <w:t>On the date of issue of the Ordinary Shares, the Company shall have sufficient authorised but unissued share capital available.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8.</w:t>
            </w:r>
          </w:p>
        </w:tc>
        <w:tc>
          <w:tcPr>
            <w:tcW w:w="10009" w:type="dxa"/>
            <w:tcBorders/>
            <w:vAlign w:val="center"/>
          </w:tcPr>
          <w:p>
            <w:pPr>
              <w:pStyle w:val="TableContents"/>
              <w:bidi w:val="0"/>
              <w:spacing w:before="0" w:after="283"/>
              <w:jc w:val="both"/>
              <w:rPr/>
            </w:pPr>
            <w:r>
              <w:rPr/>
              <w:t>The Resolutions have been duly executed (and where by a corporate entity such execution has been duly authorised if so required) by or on behalf of each Director and the signatures and initials thereon are those of a person or persons in whose name the Resolutions have been expressed to be signed.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9.</w:t>
            </w:r>
          </w:p>
        </w:tc>
        <w:tc>
          <w:tcPr>
            <w:tcW w:w="10004" w:type="dxa"/>
            <w:tcBorders/>
            <w:vAlign w:val="center"/>
          </w:tcPr>
          <w:p>
            <w:pPr>
              <w:pStyle w:val="TableContents"/>
              <w:bidi w:val="0"/>
              <w:spacing w:before="0" w:after="283"/>
              <w:jc w:val="both"/>
              <w:rPr/>
            </w:pPr>
            <w:r>
              <w:rPr/>
              <w:t>The Company will on issue of the relevant Ordinary Shares receive, consideration in money or money’s worth for each share when issued, such consideration in any event not being less than the stated par or nominal value of each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10.</w:t>
            </w:r>
          </w:p>
        </w:tc>
        <w:tc>
          <w:tcPr>
            <w:tcW w:w="9886" w:type="dxa"/>
            <w:tcBorders/>
            <w:vAlign w:val="center"/>
          </w:tcPr>
          <w:p>
            <w:pPr>
              <w:pStyle w:val="TableContents"/>
              <w:bidi w:val="0"/>
              <w:spacing w:before="0" w:after="283"/>
              <w:jc w:val="both"/>
              <w:rPr/>
            </w:pPr>
            <w:r>
              <w:rPr/>
              <w:t>The Company will on issue of the relevant Ordinary Shares have, issued and sold the shares in the manner contemplated by the Registration Statement and the documents or agreements referred to therein and otherwise in compliance with all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11.</w:t>
            </w:r>
          </w:p>
        </w:tc>
        <w:tc>
          <w:tcPr>
            <w:tcW w:w="9865" w:type="dxa"/>
            <w:tcBorders/>
            <w:vAlign w:val="center"/>
          </w:tcPr>
          <w:p>
            <w:pPr>
              <w:pStyle w:val="TableContents"/>
              <w:bidi w:val="0"/>
              <w:spacing w:before="0" w:after="283"/>
              <w:jc w:val="both"/>
              <w:rPr/>
            </w:pPr>
            <w:r>
              <w:rPr/>
              <w:t>There is nothing under any law (other than the laws of the Cayman Islands) which would or might affect any of the opinions set forth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12.</w:t>
            </w:r>
          </w:p>
        </w:tc>
        <w:tc>
          <w:tcPr>
            <w:tcW w:w="9887" w:type="dxa"/>
            <w:tcBorders/>
            <w:vAlign w:val="center"/>
          </w:tcPr>
          <w:p>
            <w:pPr>
              <w:pStyle w:val="TableContents"/>
              <w:bidi w:val="0"/>
              <w:spacing w:before="0" w:after="283"/>
              <w:jc w:val="both"/>
              <w:rPr/>
            </w:pPr>
            <w:r>
              <w:rPr/>
              <w:t>Any power of attorney given to execute any document or the Resolutions was duly executed, the named attorneys were duly appointed with full power granted to each of them and the power of attorney remains in full force and effect and have not been revoked or varied.</w:t>
            </w:r>
          </w:p>
        </w:tc>
      </w:tr>
    </w:tbl>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The term “</w:t>
            </w:r>
            <w:r>
              <w:rPr>
                <w:rFonts w:ascii="Times New Roman;Times;Serif" w:hAnsi="Times New Roman;Times;Serif"/>
                <w:b/>
              </w:rPr>
              <w:t>enforceable</w:t>
            </w:r>
            <w:r>
              <w:rPr/>
              <w:t>” and its cognates as used in this opinion means that the obligations assumed by any party under the documents are of a type which the Courts enforce.  This does not mean that those obligations will necessarily be enforced in all circumstances in accordance with their terms.  In particular: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5" w:type="dxa"/>
            <w:tcBorders/>
            <w:vAlign w:val="center"/>
          </w:tcPr>
          <w:p>
            <w:pPr>
              <w:pStyle w:val="TableContents"/>
              <w:bidi w:val="0"/>
              <w:spacing w:before="0" w:after="283"/>
              <w:jc w:val="both"/>
              <w:rPr/>
            </w:pPr>
            <w:r>
              <w:rPr/>
              <w:t>enforcement may be limited by general principles of equity and, in particular, the availability of certain equitable remedies such as injunction or specific performance of an obligation may be limited where a Court considers damages to be an adequate remedy;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claims may become barred under statutes of limitation or may be or become subject to defences of set-off, counterclaim, estoppel and similar defences;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where obligations are to be performed in a jurisdiction outside the Cayman Islands, they may not be enforceable in the Cayman Islands to the extent that performance would be illegal under the laws of, or contrary to the public policy of, that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6"/>
        <w:gridCol w:w="9789"/>
      </w:tblGrid>
      <w:tr>
        <w:trPr/>
        <w:tc>
          <w:tcPr>
            <w:tcW w:w="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(e)</w:t>
            </w:r>
          </w:p>
        </w:tc>
        <w:tc>
          <w:tcPr>
            <w:tcW w:w="9789" w:type="dxa"/>
            <w:tcBorders/>
            <w:vAlign w:val="center"/>
          </w:tcPr>
          <w:p>
            <w:pPr>
              <w:pStyle w:val="TableContents"/>
              <w:bidi w:val="0"/>
              <w:spacing w:before="0" w:after="283"/>
              <w:jc w:val="both"/>
              <w:rPr/>
            </w:pPr>
            <w:r>
              <w:rPr/>
              <w:t>a judgment of a Court may be required to be made in Cayman Islands dollars;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both"/>
              <w:rPr/>
            </w:pPr>
            <w:r>
              <w:rPr/>
              <w:t>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283"/>
              <w:jc w:val="both"/>
              <w:rPr/>
            </w:pPr>
            <w:r>
              <w:rPr/>
              <w:t>to the extent that the performance of any obligation arising under the documents would be fraudulent or contrary to public policy, it will not be enforceable in the Courts;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(h)</w:t>
            </w:r>
          </w:p>
        </w:tc>
        <w:tc>
          <w:tcPr>
            <w:tcW w:w="9938" w:type="dxa"/>
            <w:tcBorders/>
            <w:vAlign w:val="center"/>
          </w:tcPr>
          <w:p>
            <w:pPr>
              <w:pStyle w:val="TableContents"/>
              <w:bidi w:val="0"/>
              <w:spacing w:before="0" w:after="283"/>
              <w:jc w:val="both"/>
              <w:rPr/>
            </w:pPr>
            <w:r>
              <w:rPr/>
              <w:t>in the case of an insolvent liquidation of any of the companies, its liabilities are required to be translated into the functional currency of such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tc>
      </w:tr>
    </w:tbl>
    <w:p>
      <w:pPr>
        <w:pStyle w:val="TextBody"/>
        <w:bidi w:val="0"/>
        <w:spacing w:before="0" w:after="0"/>
        <w:jc w:val="left"/>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1025"/>
        <w:gridCol w:w="575"/>
      </w:tblGrid>
      <w:tr>
        <w:trPr/>
        <w:tc>
          <w:tcPr>
            <w:tcW w:w="1025" w:type="dxa"/>
            <w:tcBorders/>
            <w:vAlign w:val="center"/>
          </w:tcPr>
          <w:p>
            <w:pPr>
              <w:pStyle w:val="TableContents"/>
              <w:bidi w:val="0"/>
              <w:spacing w:before="0" w:after="283"/>
              <w:jc w:val="left"/>
              <w:rPr>
                <w:b/>
                <w:sz w:val="20"/>
              </w:rPr>
            </w:pPr>
            <w:r>
              <w:rPr>
                <w:b/>
                <w:sz w:val="20"/>
              </w:rPr>
              <w:t>WALKERS</w:t>
            </w:r>
          </w:p>
        </w:tc>
        <w:tc>
          <w:tcPr>
            <w:tcW w:w="575" w:type="dxa"/>
            <w:tcBorders/>
            <w:vAlign w:val="center"/>
          </w:tcPr>
          <w:p>
            <w:pPr>
              <w:pStyle w:val="TableContents"/>
              <w:bidi w:val="0"/>
              <w:spacing w:before="0" w:after="283"/>
              <w:jc w:val="right"/>
              <w:rPr>
                <w:sz w:val="20"/>
              </w:rPr>
            </w:pPr>
            <w:r>
              <w:rPr>
                <w:sz w:val="20"/>
              </w:rPr>
              <w:t>Page 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(i)</w:t>
            </w:r>
          </w:p>
        </w:tc>
        <w:tc>
          <w:tcPr>
            <w:tcW w:w="9944" w:type="dxa"/>
            <w:tcBorders/>
            <w:vAlign w:val="center"/>
          </w:tcPr>
          <w:p>
            <w:pPr>
              <w:pStyle w:val="TableContents"/>
              <w:bidi w:val="0"/>
              <w:spacing w:before="0" w:after="283"/>
              <w:jc w:val="both"/>
              <w:rPr/>
            </w:pPr>
            <w:r>
              <w:rPr/>
              <w:t>a Court will not necessarily award costs in litigation in accordance with contractual provisions in this regard;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(j)</w:t>
            </w:r>
          </w:p>
        </w:tc>
        <w:tc>
          <w:tcPr>
            <w:tcW w:w="9994" w:type="dxa"/>
            <w:tcBorders/>
            <w:vAlign w:val="center"/>
          </w:tcPr>
          <w:p>
            <w:pPr>
              <w:pStyle w:val="TableContents"/>
              <w:bidi w:val="0"/>
              <w:spacing w:before="0" w:after="283"/>
              <w:jc w:val="both"/>
              <w:rPr/>
            </w:pPr>
            <w:r>
              <w:rPr/>
              <w:t>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Our opinion as to good standing is based solely upon receipt of the Certificate of Good Standing issued by the Registrar. The Company shall be deemed to be in good standing under section 200A of the Companies Act (as amended) of the Cayman Islands on the date of issue of the certificate if all fees and penalties under the Companies Act have been paid and the Registrar has no knowledge that the Company is in default under the Companies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We express no opinion upon any provisions in the Memorandum and Articles or any document which contains a reference to any law or statute that is not a Cayman Islands law or statute.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029837201ex8-2.htm"/>
      <w:bookmarkStart w:id="43" w:name="ksea029837201ex82"/>
      <w:bookmarkEnd w:id="42"/>
      <w:bookmarkEnd w:id="43"/>
      <w:r>
        <w:rPr>
          <w:rFonts w:ascii="Times New Roman;Times;Serif" w:hAnsi="Times New Roman;Times;Serif"/>
          <w:b/>
          <w:i w:val="false"/>
          <w:caps w:val="false"/>
          <w:smallCaps w:val="false"/>
          <w:sz w:val="20"/>
        </w:rPr>
        <w:t>Exhibit 8.2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572375"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4"/>
                    <a:stretch>
                      <a:fillRect/>
                    </a:stretch>
                  </pic:blipFill>
                  <pic:spPr bwMode="auto">
                    <a:xfrm>
                      <a:off x="0" y="0"/>
                      <a:ext cx="7572375" cy="67627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26/F HKRI Centre One, HKRI Taikoo Hui,</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 Shimen Road (No. 1),</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200041, P.R. China</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(86-21) 5298-5488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(86-21) 5298-5492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junhesh@junhe.com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PRIVILEGED and CONFIDENTIAL</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Xinqing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Industrial Park,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Jiangsu</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legal counsel to Ascentage Pharma Group International,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F-3ASR,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the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filed with the Registration Statement. The Base Prospectus provides that it will be supplemented in the future by one or more prospectus supplements (each, a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The Registration Statement, including the Base Prospectus (as supplemented from time to time by one or more Prospectus Supplements), will provide for the registration by the Company of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representing four ordinary shares of a par value of US$0.0001 of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and, together with the ADSs,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as further described in the Registration Statement. The Securities are being registered for offering and sale from time to time pursuant to Rule 415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lawyers in the PRC and are qualified to issue opinions on the PRC Laws (as defined below). Only for the purpose of this legal opinion (this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the PRC does not include the Hong Kong Special Administrative Region, the Macau Special Administrative Region and Taiwan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215"/>
        <w:gridCol w:w="243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4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Documents and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carried out due diligence and examined copies of the Registration Statement and other documents (collectively,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as we have considered necessary or advisable for the purpose of rendering this opinion. Where certain facts were not independently established and verified by us, we have relied upon certificates or statements issued or made by the relevant Governmental Agencies (as defined below) and appropriate representatives of the Company and the PRC Entities (as defined below). In giving this opinion, we have made the following assumptions (the “</w:t>
      </w:r>
      <w:r>
        <w:rPr>
          <w:rFonts w:ascii="Times New Roman;Times;Serif" w:hAnsi="Times New Roman;Times;Serif"/>
          <w:b/>
          <w:i w:val="false"/>
          <w:caps w:val="false"/>
          <w:smallCaps w:val="false"/>
          <w:sz w:val="20"/>
        </w:rPr>
        <w:t>Assumptions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signatures, seals and chops on the Documents are genuine, each signature on behalf of a party thereto is that of a person duly authorized by such party to execute the same, all Documents submitted to us as originals are authentic, and all Documents submitted to us as copies conform to the originals;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of the parties to the Documents, other than the PRC Entities, (i) if a legal person or other entity, is duly organized and is validly existing in good standing under the laws of its jurisdiction of organization and/or incorporation, (ii) if an individual, has full capacity for civil conduct; each of them, other than the PRC Entities, has full power and authority to execute, deliver and perform its, her or his obligations under the Documents to which it, she or he is a party in accordance with the laws of its jurisdiction of organization and/or the laws that it, she or he is subject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Documents presented to us remain in full force and effect on the date of this opinion and have not been revoked, amended or supplemented, and no amendments, revisions, supplements, modifications or other changes have been made, and no revocation or termination has occurred, with respect to any of the Documents after they were submitted to us for the purposes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laws of jurisdictions other than the PRC which may be applicable to the execution, delivery, performance or enforcement of the Documents are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requested Documents have been provided to us and all factual statements made to us by the Company and the PRC Entities in connection with this opinion, including but not limited to the factual statements set forth in the Documents, are true, correct and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all explanations and interpretations provided by government officials duly reflect the official position of the relevant Governmental Agencies and are complete,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each of the Documents is legal, valid, binding and enforceable in accordance with its respective governing laws other than PRC Laws in any and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all consents, licenses, permits, approvals, exemptions or authorizations required by, and all required registrations or filings with, any governmental authority or regulatory body of any jurisdiction other than the PRC in connection with the transactions contemplated under the Registration Statement and other Documents have been obtained or made, and are in full force and effect as of the date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all Governmental Authorizations (as defined below) and other official statements and documentation obtained by the Company or any PRC Entity from any Governmental Agency have been obtained by lawful means in due course, and the Documents provided to us conform with those documents submitted to Governmental Agencies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and have not verified the truthfulness, accuracy and completeness as to factual matters of each Document we have reviewed.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215"/>
        <w:gridCol w:w="950"/>
      </w:tblGrid>
      <w:tr>
        <w:trPr/>
        <w:tc>
          <w:tcPr>
            <w:tcW w:w="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w:t>
            </w:r>
          </w:p>
        </w:tc>
        <w:tc>
          <w:tcPr>
            <w:tcW w:w="9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terms defined in the context of this opinion, the following capitalized terms used in this opinion shall have the meanings ascribed to them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Agency</w:t>
      </w:r>
      <w:r>
        <w:rPr>
          <w:rFonts w:ascii="Times New Roman;Times;Serif" w:hAnsi="Times New Roman;Times;Serif"/>
          <w:b w:val="false"/>
          <w:i w:val="false"/>
          <w:caps w:val="false"/>
          <w:smallCaps w:val="false"/>
          <w:sz w:val="20"/>
        </w:rPr>
        <w:t>” means any national, provincial or local governmental, regulatory or administrative authority, agency or commission in the PRC, or any court, tribunal or any other judicial or arbitral body in the PRC, or anybody exercising, or entitled to exercise, any administrative, judicial, legislative, law enforcement, regulatory, or taxing authority or power of a similar nature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Authorization</w:t>
      </w:r>
      <w:r>
        <w:rPr>
          <w:rFonts w:ascii="Times New Roman;Times;Serif" w:hAnsi="Times New Roman;Times;Serif"/>
          <w:b w:val="false"/>
          <w:i w:val="false"/>
          <w:caps w:val="false"/>
          <w:smallCaps w:val="false"/>
          <w:sz w:val="20"/>
        </w:rPr>
        <w:t>” means any license, approval, consent, waiver, order, sanction, certificate, authorization, filing, declaration, disclosure, registration, exemption, permission, endorsement, annual inspection, clearance, qualification, permit or license by, from or with any Governmental Agency pursuant to any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Guidance Rules and Notice</w:t>
      </w:r>
      <w:r>
        <w:rPr>
          <w:rFonts w:ascii="Times New Roman;Times;Serif" w:hAnsi="Times New Roman;Times;Serif"/>
          <w:b w:val="false"/>
          <w:i w:val="false"/>
          <w:caps w:val="false"/>
          <w:smallCaps w:val="false"/>
          <w:sz w:val="20"/>
        </w:rPr>
        <w:t>” means several Supporting Guidance Rules on the Trial Administrative Measures, Notice on Administration Arrangements for the Filing of Overseas Listings by Domestic Enterprises and relevant CSRC Answers to Reporter Questions circulated by the China Securities Regulatory Commission (the “</w:t>
      </w:r>
      <w:r>
        <w:rPr>
          <w:rFonts w:ascii="Times New Roman;Times;Serif" w:hAnsi="Times New Roman;Times;Serif"/>
          <w:b/>
          <w:i w:val="false"/>
          <w:caps w:val="false"/>
          <w:smallCaps w:val="false"/>
          <w:sz w:val="20"/>
        </w:rPr>
        <w:t>CSRC</w:t>
      </w:r>
      <w:r>
        <w:rPr>
          <w:rFonts w:ascii="Times New Roman;Times;Serif" w:hAnsi="Times New Roman;Times;Serif"/>
          <w:b w:val="false"/>
          <w:i w:val="false"/>
          <w:caps w:val="false"/>
          <w:smallCaps w:val="false"/>
          <w:sz w:val="20"/>
        </w:rPr>
        <w: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M&amp;A Rules</w:t>
      </w:r>
      <w:r>
        <w:rPr>
          <w:rFonts w:ascii="Times New Roman;Times;Serif" w:hAnsi="Times New Roman;Times;Serif"/>
          <w:b w:val="false"/>
          <w:i w:val="false"/>
          <w:caps w:val="false"/>
          <w:smallCaps w:val="false"/>
          <w:sz w:val="20"/>
        </w:rPr>
        <w:t>” means the Provisions on Mergers and Acquisitions of Domestic Enterprises by Foreign Investors (</w:t>
      </w:r>
      <w:r>
        <w:rPr>
          <w:rFonts w:eastAsia="Times New Roman;Times;Serif"/>
          <w:b w:val="false"/>
          <w:i w:val="false"/>
          <w:caps w:val="false"/>
          <w:smallCaps w:val="false"/>
          <w:sz w:val="20"/>
        </w:rPr>
        <w:t>关于外国投资者并购境内企业的规定</w:t>
      </w:r>
      <w:r>
        <w:rPr>
          <w:rFonts w:ascii="Times New Roman;Times;Serif" w:hAnsi="Times New Roman;Times;Serif"/>
          <w:b w:val="false"/>
          <w:i w:val="false"/>
          <w:caps w:val="false"/>
          <w:smallCaps w:val="false"/>
          <w:sz w:val="20"/>
        </w:rPr>
        <w:t>), which was promulgated by six Governmental Agencies, namely, the Ministry of Commerce, the State-owned Assets Supervision and Administration Commission, the State Administration for Taxation, the State Administration for Industry and Commerce, the CSRC, and the State Administration of Foreign Exchange, on August 8, 2006 and effective on September 8, 2006, as amended by the Ministry of Commerce on June 22, 2009.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 Entities</w:t>
      </w:r>
      <w:r>
        <w:rPr>
          <w:rFonts w:ascii="Times New Roman;Times;Serif" w:hAnsi="Times New Roman;Times;Serif"/>
          <w:b w:val="false"/>
          <w:i w:val="false"/>
          <w:caps w:val="false"/>
          <w:smallCaps w:val="false"/>
          <w:sz w:val="20"/>
        </w:rPr>
        <w:t>” means, collectively, all entities listed in Annex A hereof, and each, a “</w:t>
      </w:r>
      <w:r>
        <w:rPr>
          <w:rFonts w:ascii="Times New Roman;Times;Serif" w:hAnsi="Times New Roman;Times;Serif"/>
          <w:b/>
          <w:i w:val="false"/>
          <w:caps w:val="false"/>
          <w:smallCaps w:val="false"/>
          <w:sz w:val="20"/>
        </w:rPr>
        <w:t>PRC Entity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 means all applicable national, provincial and local laws, regulations, rules, notices, orders, decrees and judicial interpretations of the PRC currently in effect and publicly available on the date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Trial Administrative Measures</w:t>
      </w:r>
      <w:r>
        <w:rPr>
          <w:rFonts w:ascii="Times New Roman;Times;Serif" w:hAnsi="Times New Roman;Times;Serif"/>
          <w:b w:val="false"/>
          <w:i w:val="false"/>
          <w:caps w:val="false"/>
          <w:smallCaps w:val="false"/>
          <w:sz w:val="20"/>
        </w:rPr>
        <w:t>” means the Trial Administrative Measures of Overseas Securities Offering and Listing by Domestic Enterprises (</w:t>
      </w:r>
      <w:r>
        <w:rPr>
          <w:rFonts w:eastAsia="Times New Roman;Times;Serif"/>
          <w:b w:val="false"/>
          <w:i w:val="false"/>
          <w:caps w:val="false"/>
          <w:smallCaps w:val="false"/>
          <w:sz w:val="20"/>
        </w:rPr>
        <w:t>境内企业境外发行证券和上市管理试行办法</w:t>
      </w:r>
      <w:r>
        <w:rPr>
          <w:rFonts w:ascii="Times New Roman;Times;Serif" w:hAnsi="Times New Roman;Times;Serif"/>
          <w:b w:val="false"/>
          <w:i w:val="false"/>
          <w:caps w:val="false"/>
          <w:smallCaps w:val="false"/>
          <w:sz w:val="20"/>
        </w:rPr>
        <w:t>) issued by the CSRC on February 17, 2023, which became effective on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572375" cy="676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5"/>
                    <a:stretch>
                      <a:fillRect/>
                    </a:stretch>
                  </pic:blipFill>
                  <pic:spPr bwMode="auto">
                    <a:xfrm>
                      <a:off x="0" y="0"/>
                      <a:ext cx="7572375" cy="6762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Corporate Structure</w:t>
      </w:r>
      <w:r>
        <w:rPr>
          <w:rFonts w:ascii="Times New Roman;Times;Serif" w:hAnsi="Times New Roman;Times;Serif"/>
          <w:b w:val="false"/>
          <w:i w:val="false"/>
          <w:caps w:val="false"/>
          <w:smallCaps w:val="false"/>
          <w:sz w:val="20"/>
        </w:rPr>
        <w:t>. Based on our understanding of the published and currently effective PRC Laws, the ownership structure of the PRC Entities, both currently and immediately after giving effect to the offering of securities described in the Registration Statement, will not result in any violation of applicable PRC Laws currently in effect in any material aspects.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M&amp;A Rules</w:t>
      </w:r>
      <w:r>
        <w:rPr>
          <w:rFonts w:ascii="Times New Roman;Times;Serif" w:hAnsi="Times New Roman;Times;Serif"/>
          <w:b w:val="false"/>
          <w:i w:val="false"/>
          <w:caps w:val="false"/>
          <w:smallCaps w:val="false"/>
          <w:sz w:val="20"/>
        </w:rPr>
        <w:t>. The M&amp;A Rules, among other things, purport to require an “offshore special purpose vehicle”, which is controlled directly or indirectly by PRC Entities or individuals and formed for the purpose of overseas listing of the PRC domestic interests held by such PRC Entities or individuals via acquisition, to obtain approval from the CSRC prior to the listing and trading of the securities on overseas stock exchanges. Based on our understanding of the explicit provisions under PRC Laws, except as disclosed in the Registration Statement (including the statements made in connection with the Trial Administrative Measures and Guidance Rules and Notice), and assuming no offer, issuance or sale of Ordinary Shares or the ADSs has been or will be made directly or indirectly within the PRC, a prior approval from the CSRC as described under the M&amp;A Rules is not required for the offering of securities described in the Registration Statement.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opinions stated herein.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Taxation</w:t>
      </w:r>
      <w:r>
        <w:rPr>
          <w:rFonts w:ascii="Times New Roman;Times;Serif" w:hAnsi="Times New Roman;Times;Serif"/>
          <w:b w:val="false"/>
          <w:i w:val="false"/>
          <w:caps w:val="false"/>
          <w:smallCaps w:val="false"/>
          <w:sz w:val="20"/>
        </w:rPr>
        <w:t>. The statements made in the Registration Statement under the section entitled “Taxation” with respect to the PRC tax laws and regulations or interpretations, are correct and accurate in all material respects.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Enforceability of Civil Procedures</w:t>
      </w:r>
      <w:r>
        <w:rPr>
          <w:rFonts w:ascii="Times New Roman;Times;Serif" w:hAnsi="Times New Roman;Times;Serif"/>
          <w:b w:val="false"/>
          <w:i w:val="false"/>
          <w:caps w:val="false"/>
          <w:smallCaps w:val="false"/>
          <w:sz w:val="20"/>
        </w:rPr>
        <w:t>. There is uncertainty as to whether the PRC courts would (i) recognize or enforce judgments of United States courts obtained against the Company or the directors or officers of the Company predicated upon the civil liability provisions of the securities laws of the United States or any state in the United States, or (ii) entertain original actions brought in each respective jurisdiction against the Company or the directors or officers of the Company predicated upon the securities laws of the United States or any state in the United States.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the PRC and the jurisdiction where the judgment is made or on principles of reciprocity between jurisdictions. The PRC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the directors or officers of the Company if they decide that the judgment violates the basic principles of PRC Laws or national sovereignty, security or public interest. As a result, it is uncertain whether and on what basis a PRC court would enforce a judgment rendered by a court in the United States or the Cayman Islands.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PRC Laws</w:t>
      </w:r>
      <w:r>
        <w:rPr>
          <w:rFonts w:ascii="Times New Roman;Times;Serif" w:hAnsi="Times New Roman;Times;Serif"/>
          <w:b w:val="false"/>
          <w:i w:val="false"/>
          <w:caps w:val="false"/>
          <w:smallCaps w:val="false"/>
          <w:sz w:val="20"/>
        </w:rPr>
        <w:t>. The statements set forth in the Registration Statement under the sections entitled “Prospectus Summary,” “Risk Factors,” “Enforcement of Civil Liabilities,” “Use of Proceeds,” “Taxation” and “Legal Matters,” to the extent that they describe or summarize matters of PRC Laws, are correct and accurate in all material respects, and nothing has come to our attention, insofar as the PRC Laws are concerned, that causes us to believe that there is any omission from such statements which would make the same misleading in any material respect.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572375" cy="676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
                    <a:stretch>
                      <a:fillRect/>
                    </a:stretch>
                  </pic:blipFill>
                  <pic:spPr bwMode="auto">
                    <a:xfrm>
                      <a:off x="0" y="0"/>
                      <a:ext cx="7572375" cy="6762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subject to the following qualifications (the “</w:t>
      </w:r>
      <w:r>
        <w:rPr>
          <w:rFonts w:ascii="Times New Roman;Times;Serif" w:hAnsi="Times New Roman;Times;Serif"/>
          <w:b/>
          <w:i w:val="false"/>
          <w:caps w:val="false"/>
          <w:smallCaps w:val="false"/>
          <w:sz w:val="20"/>
        </w:rPr>
        <w:t>Qualifications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Our opinions are limited to PRC Laws of general application on the date hereof. We have made no investigation of, and do not express or imply any views on, the laws and regulations of any jurisdiction other than the PRC, and we have assumed that no such other laws or regulations would affect our opinions expressed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PRC Laws referred to herein are the laws and regulations publicly available and currently in force on the date hereof and there is no guarantee that any of such PRC Laws, or the interpretation or enforcement thereof, will not be changed, amended or revoked in the future with or without retrospective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Our opinions are subject to (i) applicable bankruptcy, insolvency, fraudulent transfer, reorganization, moratorium or similar laws in the PRC affecting creditors’ rights generally, and (ii) possible judicial or administrative actions or any PRC Laws affecting creditors’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Our opinions are subject to the effects of (i) certain legal or statutory principles affecting the validity and enforceability of contractual rights generally under the concepts of public interests, social ethics, national security, good faith, fair dealing, and applicable statutes of limitation; (ii) any circumstance in connection with the formulation, execution or performance of any legal documents that would be deemed materially mistaken, clearly unconscionable, fraudulent, coercionary or concealing illegal intentions with a lawful form; (iii) judicial discretion with respect to the availability of specific performance, injunctive relief, remedies or defenses, or the calculation of damages; and (iv) the discretion of any competent PRC legislative, administrative or judicial bodies in exercising their authority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This opinion is issued based on our understanding of PRC Laws. For matters not explicitly provided under PRC Laws, the interpretation, implementation and application of the specific requirements under PRC Laws, as well as their application to and effect on the legality, binding effect and enforceability of certain contracts, are subject to the final discretion of competent PRC legislative, administrative and judicial authorities. Under PRC Laws, foreign investment is restricted in certain industries. The interpretation and implementation of such PRC Laws, and their application to and effect on the legality, binding effect and enforceability of contracts are subject to the discretion of the competent Governmental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term “</w:t>
      </w:r>
      <w:r>
        <w:rPr>
          <w:rFonts w:ascii="Times New Roman;Times;Serif" w:hAnsi="Times New Roman;Times;Serif"/>
          <w:b/>
          <w:i w:val="false"/>
          <w:caps w:val="false"/>
          <w:smallCaps w:val="false"/>
          <w:sz w:val="20"/>
        </w:rPr>
        <w:t>enforceable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enforceability</w:t>
      </w:r>
      <w:r>
        <w:rPr>
          <w:rFonts w:ascii="Times New Roman;Times;Serif" w:hAnsi="Times New Roman;Times;Serif"/>
          <w:b w:val="false"/>
          <w:i w:val="false"/>
          <w:caps w:val="false"/>
          <w:smallCaps w:val="false"/>
          <w:sz w:val="20"/>
        </w:rPr>
        <w:t>” as used in this opinion means that the obligations assumed by the relevant obligors under the relevant Documents are of a type which the courts of the PRC may enforce. It does not mean that those obligations will necessarily be enforced in all circumstances in accordance with their respective terms and/or additional terms that may be imposed by the courts. As used in this opinion, the expression “to the best of our knowledge after due inquiry” or similar language with reference to matters of fact refers to the current, actual knowledge of the attorneys of this firm who have worked on matters for the Company and the PRC Entities in connection with the offering of securities described in the Registration Statement and the transactions contemplated thereby after reasonable investigation and inquiry. We may rely, as to matters of fact (but not as to legal conclusions), to the extent we deem proper, on certificates, statements and confirmations made by the responsible officers of the Company, the PRC Entities and/or the relevant Governmental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We have not undertaken any independent investigation, search or other verification action to determine the existence or absence of any fact or to prepare this opinion, and no inference as to our knowledge of the existence or absence of any fact should be drawn from our representation of the Company or the PRC Entities or the rendering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opinion is intended to be used in the context which is specifically referred to herein; each paragraph shall be construed as a whole and no part shall be extracted and referred to independently.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strictly limited to the matters stated herein and no opinion is implied or may be inferred beyond the matters expressly stated herein. The opinions expressed herein are rendered only as of the date hereof, and we assume no responsibility to advise you of facts, circumstances, events or developments that hereafter may be brought to our attention and that may alter, affect or modify the opinions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solely for the benefit of the addressee hereof in connection with the offering of securities described in the Registration Statement. We hereby consent to the use of this opinion in, and the filing hereof as an exhibit to, the Registration Statement, and to the reference to our name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PRC Legal Opinion on the Offering of Ascentage Pharma Group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28" w:type="dxa"/>
          <w:right w:w="0" w:type="dxa"/>
        </w:tblCellMar>
      </w:tblPr>
      <w:tblGrid>
        <w:gridCol w:w="1415"/>
        <w:gridCol w:w="75"/>
      </w:tblGrid>
      <w:tr>
        <w:trPr/>
        <w:tc>
          <w:tcPr>
            <w:tcW w:w="1415" w:type="dxa"/>
            <w:tcBorders>
              <w:bottom w:val="single" w:sz="12" w:space="0" w:color="000000"/>
            </w:tcBorders>
            <w:vAlign w:val="center"/>
          </w:tcPr>
          <w:p>
            <w:pPr>
              <w:pStyle w:val="TableContents"/>
              <w:bidi w:val="0"/>
              <w:spacing w:before="0" w:after="283"/>
              <w:jc w:val="left"/>
              <w:rPr/>
            </w:pPr>
            <w:r>
              <w:rPr/>
              <w:t>/s/ JunHe LLP</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A List of the PRC Entities </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10" w:type="dxa"/>
        <w:tblLayout w:type="fixed"/>
        <w:tblCellMar>
          <w:top w:w="28" w:type="dxa"/>
          <w:left w:w="28" w:type="dxa"/>
          <w:bottom w:w="28" w:type="dxa"/>
          <w:right w:w="28" w:type="dxa"/>
        </w:tblCellMar>
      </w:tblPr>
      <w:tblGrid>
        <w:gridCol w:w="560"/>
        <w:gridCol w:w="3140"/>
        <w:gridCol w:w="75"/>
      </w:tblGrid>
      <w:tr>
        <w:trPr/>
        <w:tc>
          <w:tcPr>
            <w:tcW w:w="560"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 </w:t>
            </w:r>
          </w:p>
        </w:tc>
        <w:tc>
          <w:tcPr>
            <w:tcW w:w="3140" w:type="dxa"/>
            <w:tcBorders>
              <w:top w:val="single" w:sz="8" w:space="0" w:color="000000"/>
              <w:bottom w:val="single" w:sz="8" w:space="0" w:color="000000"/>
              <w:right w:val="single" w:sz="8" w:space="0" w:color="000000"/>
            </w:tcBorders>
            <w:shd w:fill="D9D9D9" w:val="clear"/>
            <w:tcMar>
              <w:left w:w="0" w:type="dxa"/>
              <w:right w:w="10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PRC Entities</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vMerge w:val="restart"/>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1</w:t>
            </w:r>
            <w:r>
              <w:rPr>
                <w:rFonts w:eastAsia="Times New Roman;Times;Serif"/>
                <w:sz w:val="20"/>
              </w:rPr>
              <w:t>．     </w:t>
            </w:r>
          </w:p>
        </w:tc>
        <w:tc>
          <w:tcPr>
            <w:tcW w:w="3140" w:type="dxa"/>
            <w:vMerge w:val="restart"/>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苏州亚盛药业有限公司</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vMerge w:val="continue"/>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Normal"/>
              <w:bidi w:val="0"/>
              <w:jc w:val="left"/>
              <w:rPr/>
            </w:pPr>
            <w:r>
              <w:rPr/>
            </w:r>
          </w:p>
        </w:tc>
        <w:tc>
          <w:tcPr>
            <w:tcW w:w="3140" w:type="dxa"/>
            <w:vMerge w:val="continue"/>
            <w:tcBorders>
              <w:bottom w:val="single" w:sz="8" w:space="0" w:color="000000"/>
              <w:right w:val="single" w:sz="8" w:space="0" w:color="000000"/>
            </w:tcBorders>
            <w:shd w:fill="FFFFFF" w:val="clear"/>
            <w:tcMar>
              <w:top w:w="0" w:type="dxa"/>
              <w:left w:w="0" w:type="dxa"/>
              <w:right w:w="108" w:type="dxa"/>
            </w:tcMar>
            <w:vAlign w:val="center"/>
          </w:tcPr>
          <w:p>
            <w:pPr>
              <w:pStyle w:val="Normal"/>
              <w:bidi w:val="0"/>
              <w:jc w:val="left"/>
              <w:rPr/>
            </w:pPr>
            <w:r>
              <w:rPr/>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2</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广州顺健生物医药科技有限公司</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3</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上海盛达健医药有限公司</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4</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苏州盛合创新工场生物技术有限公司</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vMerge w:val="restart"/>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5</w:t>
            </w:r>
            <w:r>
              <w:rPr>
                <w:rFonts w:eastAsia="Times New Roman;Times;Serif"/>
                <w:sz w:val="20"/>
              </w:rPr>
              <w:t>．     </w:t>
            </w:r>
          </w:p>
        </w:tc>
        <w:tc>
          <w:tcPr>
            <w:tcW w:w="3140" w:type="dxa"/>
            <w:vMerge w:val="restart"/>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江苏亚盛医药开发有限公司</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vMerge w:val="continue"/>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Normal"/>
              <w:bidi w:val="0"/>
              <w:jc w:val="left"/>
              <w:rPr/>
            </w:pPr>
            <w:r>
              <w:rPr/>
            </w:r>
          </w:p>
        </w:tc>
        <w:tc>
          <w:tcPr>
            <w:tcW w:w="3140" w:type="dxa"/>
            <w:vMerge w:val="continue"/>
            <w:tcBorders>
              <w:bottom w:val="single" w:sz="8" w:space="0" w:color="000000"/>
              <w:right w:val="single" w:sz="8" w:space="0" w:color="000000"/>
            </w:tcBorders>
            <w:shd w:fill="FFFFFF" w:val="clear"/>
            <w:tcMar>
              <w:top w:w="0" w:type="dxa"/>
              <w:left w:w="0" w:type="dxa"/>
              <w:right w:w="108" w:type="dxa"/>
            </w:tcMar>
            <w:vAlign w:val="center"/>
          </w:tcPr>
          <w:p>
            <w:pPr>
              <w:pStyle w:val="Normal"/>
              <w:bidi w:val="0"/>
              <w:jc w:val="left"/>
              <w:rPr/>
            </w:pPr>
            <w:r>
              <w:rPr/>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6</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上海亚盛医药科技有限公司</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7</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苏州亚盛磐谷创业投资有限责任公司</w:t>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vMerge w:val="restart"/>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8</w:t>
            </w:r>
            <w:r>
              <w:rPr>
                <w:rFonts w:eastAsia="Times New Roman;Times;Serif"/>
                <w:sz w:val="20"/>
              </w:rPr>
              <w:t>．     </w:t>
            </w:r>
          </w:p>
        </w:tc>
        <w:tc>
          <w:tcPr>
            <w:tcW w:w="3140" w:type="dxa"/>
            <w:vMerge w:val="restart"/>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苏州盛禾众创空间发展有限公司</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 w:type="dxa"/>
            <w:vMerge w:val="continue"/>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Normal"/>
              <w:bidi w:val="0"/>
              <w:jc w:val="left"/>
              <w:rPr/>
            </w:pPr>
            <w:r>
              <w:rPr/>
            </w:r>
          </w:p>
        </w:tc>
        <w:tc>
          <w:tcPr>
            <w:tcW w:w="3140" w:type="dxa"/>
            <w:vMerge w:val="continue"/>
            <w:tcBorders>
              <w:bottom w:val="single" w:sz="8" w:space="0" w:color="000000"/>
              <w:right w:val="single" w:sz="8" w:space="0" w:color="000000"/>
            </w:tcBorders>
            <w:shd w:fill="FFFFFF" w:val="clear"/>
            <w:tcMar>
              <w:top w:w="0" w:type="dxa"/>
              <w:left w:w="0" w:type="dxa"/>
              <w:right w:w="108" w:type="dxa"/>
            </w:tcMar>
            <w:vAlign w:val="center"/>
          </w:tcPr>
          <w:p>
            <w:pPr>
              <w:pStyle w:val="Normal"/>
              <w:bidi w:val="0"/>
              <w:jc w:val="left"/>
              <w:rPr/>
            </w:pPr>
            <w:r>
              <w:rPr/>
            </w:r>
          </w:p>
        </w:tc>
        <w:tc>
          <w:tcPr>
            <w:tcW w:w="75" w:type="dxa"/>
            <w:tcBorders/>
            <w:tcMar>
              <w:top w:w="0" w:type="dxa"/>
              <w:left w:w="0" w:type="dxa"/>
              <w:bottom w:w="0" w:type="dxa"/>
              <w:right w:w="0" w:type="dxa"/>
            </w:tcMar>
            <w:vAlign w:val="center"/>
          </w:tcPr>
          <w:p>
            <w:pPr>
              <w:pStyle w:val="TableContents"/>
              <w:bidi w:val="0"/>
              <w:spacing w:before="0" w:after="283"/>
              <w:ind w:left="0" w:right="0" w:hanging="420"/>
              <w:jc w:val="left"/>
              <w:rPr/>
            </w:pPr>
            <w:r>
              <w:rPr/>
              <w:t> </w:t>
            </w:r>
          </w:p>
        </w:tc>
      </w:tr>
      <w:tr>
        <w:trPr/>
        <w:tc>
          <w:tcPr>
            <w:tcW w:w="560" w:type="dxa"/>
            <w:tcBorders>
              <w:left w:val="single" w:sz="8" w:space="0" w:color="000000"/>
              <w:bottom w:val="single" w:sz="8" w:space="0" w:color="000000"/>
              <w:right w:val="single" w:sz="8" w:space="0" w:color="000000"/>
            </w:tcBorders>
            <w:shd w:fill="FFFFFF" w:val="clear"/>
            <w:tcMar>
              <w:top w:w="0" w:type="dxa"/>
              <w:left w:w="420" w:type="dxa"/>
              <w:right w:w="108" w:type="dxa"/>
            </w:tcMar>
            <w:vAlign w:val="center"/>
          </w:tcPr>
          <w:p>
            <w:pPr>
              <w:pStyle w:val="TableContents"/>
              <w:bidi w:val="0"/>
              <w:spacing w:before="0" w:after="283"/>
              <w:jc w:val="left"/>
              <w:rPr/>
            </w:pPr>
            <w:r>
              <w:rPr>
                <w:rFonts w:ascii="Times New Roman;Times;Serif" w:hAnsi="Times New Roman;Times;Serif"/>
                <w:sz w:val="20"/>
              </w:rPr>
              <w:t>9</w:t>
            </w:r>
            <w:r>
              <w:rPr>
                <w:rFonts w:eastAsia="Times New Roman;Times;Serif"/>
                <w:sz w:val="20"/>
              </w:rPr>
              <w:t>．     </w:t>
            </w:r>
          </w:p>
        </w:tc>
        <w:tc>
          <w:tcPr>
            <w:tcW w:w="3140" w:type="dxa"/>
            <w:tcBorders>
              <w:bottom w:val="single" w:sz="8" w:space="0" w:color="000000"/>
              <w:right w:val="single" w:sz="8" w:space="0" w:color="000000"/>
            </w:tcBorders>
            <w:shd w:fill="FFFFFF" w:val="clear"/>
            <w:tcMar>
              <w:top w:w="0" w:type="dxa"/>
              <w:left w:w="0" w:type="dxa"/>
              <w:right w:w="108" w:type="dxa"/>
            </w:tcMar>
            <w:vAlign w:val="center"/>
          </w:tcPr>
          <w:p>
            <w:pPr>
              <w:pStyle w:val="TableContents"/>
              <w:bidi w:val="0"/>
              <w:spacing w:before="0" w:after="283"/>
              <w:jc w:val="center"/>
              <w:rPr>
                <w:rFonts w:eastAsia="Times New Roman;Times;Serif"/>
                <w:sz w:val="20"/>
              </w:rPr>
            </w:pPr>
            <w:r>
              <w:rPr>
                <w:rFonts w:eastAsia="Times New Roman;Times;Serif"/>
                <w:sz w:val="20"/>
              </w:rPr>
              <w:t>苏州亚盛药业有限公司北京分公司</w:t>
            </w:r>
          </w:p>
        </w:tc>
        <w:tc>
          <w:tcPr>
            <w:tcW w:w="7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9837201ex23-1.htm"/>
      <w:bookmarkStart w:id="45" w:name="ksea029837201ex231"/>
      <w:bookmarkEnd w:id="44"/>
      <w:bookmarkEnd w:id="4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F-3) and related Prospectus of Ascentage Pharma Group International for the registration of its ordinary shares and to the incorporation by reference therein of our report dated April 29, 2026, with respect to the consolidated financial statements of Ascentage Pharma Group International included in its Annual Report (Form 20-F)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Hua Ming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6" w:name="ea029837201ex23-4.htm"/>
      <w:bookmarkStart w:id="47" w:name="ksea029837201ex234"/>
      <w:bookmarkEnd w:id="46"/>
      <w:bookmarkEnd w:id="47"/>
      <w:r>
        <w:rPr>
          <w:b/>
        </w:rPr>
        <w:t>Exhibit 23.4</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19850" cy="1771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7"/>
                    <a:stretch>
                      <a:fillRect/>
                    </a:stretch>
                  </pic:blipFill>
                  <pic:spPr bwMode="auto">
                    <a:xfrm>
                      <a:off x="0" y="0"/>
                      <a:ext cx="6419850" cy="1771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left"/>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Walkers Corporate Limited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 Elgin Avenue, George Town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KY1-9008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Ascentage Pharma Group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references to our firm in the headings “Prospectus Summary — Company Overview” in each of the base prospectus and sales agreement prospectus (as referenced therein) included in Ascentage Pharma Group International’s Registration Statement on Form F-3ASR (the “Registration Statement”), which will be filed with the U.S. Securities and Exchange Commission (the “Commission”) under the U.S. Securities Exchange Act of 1934, as amended (the “Exchange Act”) on July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also consent to our opinion as set forth in Ascentage Pharma Group International’s Annual Report on Form 20-F, filed with the Commission on April 29, 2026, being incorporated by reference into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the Exchange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Frost &amp; Sullivan (Beijing) Inc., Shanghai Branch Co.</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5"/>
        <w:gridCol w:w="1955"/>
        <w:gridCol w:w="75"/>
      </w:tblGrid>
      <w:tr>
        <w:trPr/>
        <w:tc>
          <w:tcPr>
            <w:tcW w:w="1055" w:type="dxa"/>
            <w:tcBorders/>
            <w:vAlign w:val="center"/>
          </w:tcPr>
          <w:p>
            <w:pPr>
              <w:pStyle w:val="TableContents"/>
              <w:bidi w:val="0"/>
              <w:spacing w:before="0" w:after="283"/>
              <w:jc w:val="left"/>
              <w:rPr/>
            </w:pPr>
            <w:r>
              <w:rPr/>
              <w:t>Signature: </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/s/ Tracy Wang</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Name:</w:t>
            </w:r>
          </w:p>
        </w:tc>
        <w:tc>
          <w:tcPr>
            <w:tcW w:w="1955" w:type="dxa"/>
            <w:tcBorders/>
            <w:vAlign w:val="center"/>
          </w:tcPr>
          <w:p>
            <w:pPr>
              <w:pStyle w:val="TableContents"/>
              <w:bidi w:val="0"/>
              <w:spacing w:before="0" w:after="283"/>
              <w:jc w:val="left"/>
              <w:rPr/>
            </w:pPr>
            <w:r>
              <w:rPr/>
              <w:t>Tracy Wang</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pPr>
            <w:r>
              <w:rPr/>
              <w:t>Consulting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48" w:name="ea029837201ex-fee.htm"/>
      <w:bookmarkStart w:id="49" w:name="ksea029837201exfee"/>
      <w:bookmarkEnd w:id="48"/>
      <w:bookmarkEnd w:id="49"/>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ASCENTAGE PHARMA GROUP INTERNATIONAL</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15" w:type="dxa"/>
        <w:jc w:val="left"/>
        <w:tblInd w:w="0" w:type="dxa"/>
        <w:tblLayout w:type="fixed"/>
        <w:tblCellMar>
          <w:top w:w="0" w:type="dxa"/>
          <w:left w:w="0" w:type="dxa"/>
          <w:bottom w:w="0" w:type="dxa"/>
          <w:right w:w="0" w:type="dxa"/>
        </w:tblCellMar>
      </w:tblPr>
      <w:tblGrid>
        <w:gridCol w:w="530"/>
        <w:gridCol w:w="60"/>
        <w:gridCol w:w="800"/>
        <w:gridCol w:w="60"/>
        <w:gridCol w:w="875"/>
        <w:gridCol w:w="60"/>
        <w:gridCol w:w="575"/>
        <w:gridCol w:w="60"/>
        <w:gridCol w:w="1100"/>
        <w:gridCol w:w="60"/>
        <w:gridCol w:w="1025"/>
        <w:gridCol w:w="60"/>
        <w:gridCol w:w="696"/>
        <w:gridCol w:w="299"/>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31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Ordinary shares,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Ordinary shares,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27,620.00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6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27,620.00</w:t>
            </w:r>
          </w:p>
        </w:tc>
      </w:tr>
      <w:tr>
        <w:trPr/>
        <w:tc>
          <w:tcPr>
            <w:tcW w:w="626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26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6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27,620.00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The registrant is hereby registering an indeterminate number of securities of each identified class as may from time to time be offered at indeterminant prices, including securities that may be issued upon exercise, conversion, settlement or exchange of securities registered hereunder.</w:t>
              <w:br/>
              <w:br/>
              <w:t>In accordance with Rule 456(b) and 457(r) under the Securities Act of 1933, as amended (the “Securities Act”), the registrant is deferring payment of all registration fees, other than the registration fee due in connection with $200,000,000 of ordinary shares represented by American Depositary Shares that may be issued and sold from time to time under the sales agreement prospectus contained in this registration statement. Any subsequent registration fees will be paid on a pay-as-you-go basis. The registrant will calculate the registration fee applicable to an offer of securities pursuant to this registration statement based on the fee payment rate in effect on the date of such fee payment.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br/>
              <w:br/>
              <w:t>Each American Depositary Share represents four (4) of ordinary shares, par value $0.0001 per share. Ordinary shares may be in the form of American Depositary Shares. American Depositary Shares issuable on deposit of the ordinary shares registered hereby have been registered under the Registration Statement on Form F-6 (Registration No. 333-284315), which was filed with the Securities and Exchange Commission on January 16, 2025.</w:t>
            </w:r>
          </w:p>
        </w:tc>
      </w:tr>
    </w:tbl>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The registration fee has been calculated pursuant to Rule 457(o) under the Securities Act, based upon the proposed maximum aggregate offering price of $200,000,000 of ordinary shares represented by American Depositary Shares that may be offered, issued and sold under the sales agreement prospectus described above.</w:t>
              <w:br/>
              <w:br/>
              <w:t>Each American Depositary Share represents four (4) of ordinary shares, par value $0.0001 per share. Ordinary shares may be in the form of American Depositary Shares. American Depositary Shares issuable on deposit of the ordinary shares registered hereby have been registered under the Registration Statement on Form F-6 (Registration No. 333-284315), which was filed with the Securities and Exchange Commission on January 16, 2025.</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023311/000121390026049412/ea0285148-20f_ascentage.htm" TargetMode="External"/><Relationship Id="rId4" Type="http://schemas.openxmlformats.org/officeDocument/2006/relationships/hyperlink" Target="https://www.sec.gov/Archives/edgar/data/1474274/000119380525000042/e664138_f6-apgi.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hyperlink" Target="https://www.sec.gov/ix?doc=/Archives/edgar/data/2023311/000121390026049412/ea0285148-20f_ascentage.htm" TargetMode="External"/><Relationship Id="rId8" Type="http://schemas.openxmlformats.org/officeDocument/2006/relationships/hyperlink" Target="https://www.sec.gov/Archives/edgar/data/1474274/000119380525000042/e664138_f6-apgi.htm" TargetMode="External"/><Relationship Id="rId9" Type="http://schemas.openxmlformats.org/officeDocument/2006/relationships/image" Target="media/image1.jpeg"/><Relationship Id="rId10" Type="http://schemas.openxmlformats.org/officeDocument/2006/relationships/hyperlink" Target="https://www.sec.gov/Archives/edgar/data/1474274/000119380525000042/e664138_ex99-a.htm" TargetMode="External"/><Relationship Id="rId11" Type="http://schemas.openxmlformats.org/officeDocument/2006/relationships/hyperlink" Target="https://www.sec.gov/Archives/edgar/data/2023311/000110465924132177/tm2415654d13_ex4-2.htm" TargetMode="External"/><Relationship Id="rId12" Type="http://schemas.openxmlformats.org/officeDocument/2006/relationships/hyperlink" Target="https://www.sec.gov/Archives/edgar/data/1474274/000119380525000042/e664138_ex99-a.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138425</Words>
  <Characters>712428</Characters>
  <CharactersWithSpaces>850973</CharactersWithSpaces>
  <Paragraphs>6616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