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8724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265"/>
                    </a:xfrm>
                    <a:prstGeom prst="rect">
                      <a:avLst/>
                    </a:prstGeom>
                    <a:noFill/>
                  </pic:spPr>
                </pic:pic>
              </a:graphicData>
            </a:graphic>
          </wp:anchor>
        </w:drawing>
      </w:r>
    </w:p>
    <w:p>
      <w:pPr>
        <w:spacing w:after="0" w:line="1067" w:lineRule="exact"/>
        <w:rPr>
          <w:sz w:val="24"/>
          <w:szCs w:val="24"/>
          <w:color w:val="auto"/>
        </w:rPr>
      </w:pPr>
    </w:p>
    <w:p>
      <w:pPr>
        <w:sectPr>
          <w:pgSz w:w="11900" w:h="16838" w:orient="portrait"/>
          <w:cols w:equalWidth="0" w:num="2">
            <w:col w:w="2320" w:space="340"/>
            <w:col w:w="8420"/>
          </w:cols>
          <w:pgMar w:left="460" w:top="215"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Zhai Yifan</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ASCENTAGE PHARMA GROUP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700 KING FARM BLVD., SUITE 510</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ROCKVILLE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20850</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5"/>
          </w:tcPr>
          <w:p>
            <w:pPr>
              <w:ind w:left="60"/>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ASCENTAGE PHARMA GROUP</w:t>
              </w:r>
            </w:hyperlink>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0"/>
        </w:trPr>
        <w:tc>
          <w:tcPr>
            <w:tcW w:w="3820" w:type="dxa"/>
            <w:vAlign w:val="bottom"/>
            <w:gridSpan w:val="5"/>
            <w:vMerge w:val="restart"/>
          </w:tcPr>
          <w:p>
            <w:pPr>
              <w:ind w:left="6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INTERNATIONAL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AAPG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82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00"/>
              <w:spacing w:after="0" w:line="148" w:lineRule="exact"/>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480" w:type="dxa"/>
            <w:vAlign w:val="bottom"/>
            <w:tcBorders>
              <w:top w:val="single" w:sz="8" w:color="0000EE"/>
            </w:tcBorders>
          </w:tcPr>
          <w:p>
            <w:pPr>
              <w:spacing w:after="0"/>
              <w:rPr>
                <w:sz w:val="4"/>
                <w:szCs w:val="4"/>
                <w:color w:val="auto"/>
              </w:rPr>
            </w:pPr>
          </w:p>
        </w:tc>
        <w:tc>
          <w:tcPr>
            <w:tcW w:w="1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Chief Medical Officer</w:t>
            </w:r>
          </w:p>
        </w:tc>
        <w:tc>
          <w:tcPr>
            <w:tcW w:w="0" w:type="dxa"/>
            <w:vAlign w:val="bottom"/>
          </w:tcPr>
          <w:p>
            <w:pPr>
              <w:spacing w:after="0"/>
              <w:rPr>
                <w:sz w:val="1"/>
                <w:szCs w:val="1"/>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05/20/2026</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0"/>
          <w:szCs w:val="20"/>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462" w:lineRule="exact"/>
        <w:rPr>
          <w:sz w:val="20"/>
          <w:szCs w:val="20"/>
          <w:color w:val="auto"/>
        </w:rPr>
      </w:pPr>
    </w:p>
    <w:p>
      <w:pPr>
        <w:sectPr>
          <w:pgSz w:w="11900" w:h="16838" w:orient="portrait"/>
          <w:cols w:equalWidth="0" w:num="2">
            <w:col w:w="3740" w:space="1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98"/>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58"/>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0000FF"/>
              </w:rPr>
              <w:t>05/21/2026</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92,746</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405,280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22,054,131</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Footnote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(1)</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vMerge w:val="restart"/>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0000FF"/>
              </w:rPr>
              <w:t>05/21/2026</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95,575</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1,193,569</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Footnote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(2)</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14,089,111</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Footnote</w:t>
            </w: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(3)</w:t>
            </w:r>
            <w:r>
              <w:rPr>
                <w:rFonts w:ascii="Times New Roman" w:cs="Times New Roman" w:eastAsia="Times New Roman" w:hAnsi="Times New Roman"/>
                <w:sz w:val="20"/>
                <w:szCs w:val="20"/>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6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88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103,365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9"/>
              </w:rPr>
              <w:t>103,365</w:t>
            </w:r>
          </w:p>
        </w:tc>
        <w:tc>
          <w:tcPr>
            <w:tcW w:w="440" w:type="dxa"/>
            <w:vAlign w:val="bottom"/>
          </w:tcPr>
          <w:p>
            <w:pPr>
              <w:spacing w:after="0"/>
              <w:rPr>
                <w:sz w:val="12"/>
                <w:szCs w:val="12"/>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103,365</w:t>
            </w:r>
          </w:p>
        </w:tc>
        <w:tc>
          <w:tcPr>
            <w:tcW w:w="640" w:type="dxa"/>
            <w:vAlign w:val="bottom"/>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(4)</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Borders>
              <w:bottom w:val="single" w:sz="8" w:color="2C2C2C"/>
            </w:tcBorders>
            <w:vMerge w:val="continue"/>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214,999</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9"/>
              </w:rPr>
              <w:t>214,999</w:t>
            </w:r>
          </w:p>
        </w:tc>
        <w:tc>
          <w:tcPr>
            <w:tcW w:w="440" w:type="dxa"/>
            <w:vAlign w:val="bottom"/>
          </w:tcPr>
          <w:p>
            <w:pPr>
              <w:spacing w:after="0"/>
              <w:rPr>
                <w:sz w:val="12"/>
                <w:szCs w:val="12"/>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214,999</w:t>
            </w:r>
          </w:p>
        </w:tc>
        <w:tc>
          <w:tcPr>
            <w:tcW w:w="640" w:type="dxa"/>
            <w:vAlign w:val="bottom"/>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(5)</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Borders>
              <w:bottom w:val="single" w:sz="8" w:color="2C2C2C"/>
            </w:tcBorders>
            <w:vMerge w:val="continue"/>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r>
              <w:rPr>
                <w:rFonts w:ascii="Times New Roman" w:cs="Times New Roman" w:eastAsia="Times New Roman" w:hAnsi="Times New Roman"/>
                <w:sz w:val="20"/>
                <w:szCs w:val="20"/>
                <w:color w:val="008000"/>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6.58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center"/>
              <w:ind w:right="339"/>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214,988</w:t>
            </w:r>
          </w:p>
        </w:tc>
        <w:tc>
          <w:tcPr>
            <w:tcW w:w="440" w:type="dxa"/>
            <w:vAlign w:val="bottom"/>
          </w:tcPr>
          <w:p>
            <w:pPr>
              <w:spacing w:after="0"/>
              <w:rPr>
                <w:sz w:val="20"/>
                <w:szCs w:val="20"/>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214,988</w:t>
            </w:r>
          </w:p>
        </w:tc>
        <w:tc>
          <w:tcPr>
            <w:tcW w:w="40" w:type="dxa"/>
            <w:vAlign w:val="bottom"/>
          </w:tcPr>
          <w:p>
            <w:pPr>
              <w:spacing w:after="0"/>
              <w:rPr>
                <w:sz w:val="20"/>
                <w:szCs w:val="20"/>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214,988</w:t>
            </w:r>
          </w:p>
        </w:tc>
        <w:tc>
          <w:tcPr>
            <w:tcW w:w="6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38"/>
              <w:spacing w:after="0" w:line="138" w:lineRule="exact"/>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r>
              <w:rPr>
                <w:rFonts w:ascii="Times New Roman" w:cs="Times New Roman" w:eastAsia="Times New Roman" w:hAnsi="Times New Roman"/>
                <w:sz w:val="20"/>
                <w:szCs w:val="20"/>
                <w:color w:val="008000"/>
                <w:vertAlign w:val="superscript"/>
              </w:rPr>
              <w:t>(7)</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center"/>
              <w:ind w:right="339"/>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103,364</w:t>
            </w:r>
          </w:p>
        </w:tc>
        <w:tc>
          <w:tcPr>
            <w:tcW w:w="440" w:type="dxa"/>
            <w:vAlign w:val="bottom"/>
          </w:tcPr>
          <w:p>
            <w:pPr>
              <w:spacing w:after="0"/>
              <w:rPr>
                <w:sz w:val="20"/>
                <w:szCs w:val="20"/>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103,364</w:t>
            </w:r>
          </w:p>
        </w:tc>
        <w:tc>
          <w:tcPr>
            <w:tcW w:w="40" w:type="dxa"/>
            <w:vAlign w:val="bottom"/>
          </w:tcPr>
          <w:p>
            <w:pPr>
              <w:spacing w:after="0"/>
              <w:rPr>
                <w:sz w:val="20"/>
                <w:szCs w:val="20"/>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103,364</w:t>
            </w:r>
          </w:p>
        </w:tc>
        <w:tc>
          <w:tcPr>
            <w:tcW w:w="6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38"/>
              <w:spacing w:after="0" w:line="138" w:lineRule="exact"/>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92,746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4"/>
              </w:rPr>
              <w:t>92,746</w:t>
            </w:r>
          </w:p>
        </w:tc>
        <w:tc>
          <w:tcPr>
            <w:tcW w:w="440" w:type="dxa"/>
            <w:vAlign w:val="bottom"/>
          </w:tcPr>
          <w:p>
            <w:pPr>
              <w:spacing w:after="0"/>
              <w:rPr>
                <w:sz w:val="6"/>
                <w:szCs w:val="6"/>
                <w:color w:val="auto"/>
              </w:rPr>
            </w:pPr>
          </w:p>
        </w:tc>
        <w:tc>
          <w:tcPr>
            <w:tcW w:w="780" w:type="dxa"/>
            <w:vAlign w:val="bottom"/>
            <w:gridSpan w:val="2"/>
            <w:vMerge w:val="restart"/>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7"/>
              </w:rPr>
              <w:t>05/21/2026</w:t>
            </w: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92,746</w:t>
            </w:r>
          </w:p>
        </w:tc>
        <w:tc>
          <w:tcPr>
            <w:tcW w:w="640" w:type="dxa"/>
            <w:vAlign w:val="bottom"/>
            <w:vMerge w:val="restart"/>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(8)</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92,746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05/21/2026</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580" w:type="dxa"/>
            <w:vAlign w:val="bottom"/>
          </w:tcPr>
          <w:p>
            <w:pPr>
              <w:spacing w:after="0"/>
              <w:rPr>
                <w:sz w:val="6"/>
                <w:szCs w:val="6"/>
                <w:color w:val="auto"/>
              </w:rPr>
            </w:pPr>
          </w:p>
        </w:tc>
        <w:tc>
          <w:tcPr>
            <w:tcW w:w="44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92,746</w:t>
            </w: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0"/>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6"/>
                <w:szCs w:val="6"/>
                <w:color w:val="auto"/>
              </w:rPr>
            </w:pPr>
          </w:p>
        </w:tc>
        <w:tc>
          <w:tcPr>
            <w:tcW w:w="640" w:type="dxa"/>
            <w:vAlign w:val="bottom"/>
            <w:vMerge w:val="restart"/>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(9)</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95,575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4"/>
              </w:rPr>
              <w:t>95,575</w:t>
            </w:r>
          </w:p>
        </w:tc>
        <w:tc>
          <w:tcPr>
            <w:tcW w:w="440" w:type="dxa"/>
            <w:vAlign w:val="bottom"/>
          </w:tcPr>
          <w:p>
            <w:pPr>
              <w:spacing w:after="0"/>
              <w:rPr>
                <w:sz w:val="6"/>
                <w:szCs w:val="6"/>
                <w:color w:val="auto"/>
              </w:rPr>
            </w:pPr>
          </w:p>
        </w:tc>
        <w:tc>
          <w:tcPr>
            <w:tcW w:w="780" w:type="dxa"/>
            <w:vAlign w:val="bottom"/>
            <w:gridSpan w:val="2"/>
            <w:vMerge w:val="restart"/>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7"/>
              </w:rPr>
              <w:t>05/21/2026</w:t>
            </w: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95,575</w:t>
            </w:r>
          </w:p>
        </w:tc>
        <w:tc>
          <w:tcPr>
            <w:tcW w:w="640" w:type="dxa"/>
            <w:vAlign w:val="bottom"/>
            <w:vMerge w:val="restart"/>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(8)</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95,575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05/21/2026</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580" w:type="dxa"/>
            <w:vAlign w:val="bottom"/>
          </w:tcPr>
          <w:p>
            <w:pPr>
              <w:spacing w:after="0"/>
              <w:rPr>
                <w:sz w:val="6"/>
                <w:szCs w:val="6"/>
                <w:color w:val="auto"/>
              </w:rPr>
            </w:pPr>
          </w:p>
        </w:tc>
        <w:tc>
          <w:tcPr>
            <w:tcW w:w="44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95,575</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w w:val="95"/>
              </w:rPr>
              <w:t>(10)</w:t>
            </w: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0"/>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6"/>
                <w:szCs w:val="6"/>
                <w:color w:val="auto"/>
              </w:rPr>
            </w:pPr>
          </w:p>
        </w:tc>
        <w:tc>
          <w:tcPr>
            <w:tcW w:w="640" w:type="dxa"/>
            <w:vAlign w:val="bottom"/>
            <w:vMerge w:val="restart"/>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(10)</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298,195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339"/>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right="21"/>
              <w:spacing w:after="0" w:line="138" w:lineRule="exact"/>
              <w:rPr>
                <w:sz w:val="20"/>
                <w:szCs w:val="20"/>
                <w:color w:val="auto"/>
              </w:rPr>
            </w:pPr>
            <w:r>
              <w:rPr>
                <w:rFonts w:ascii="Times New Roman" w:cs="Times New Roman" w:eastAsia="Times New Roman" w:hAnsi="Times New Roman"/>
                <w:sz w:val="13"/>
                <w:szCs w:val="13"/>
                <w:color w:val="0000FF"/>
                <w:w w:val="99"/>
              </w:rPr>
              <w:t>298,195</w:t>
            </w:r>
          </w:p>
        </w:tc>
        <w:tc>
          <w:tcPr>
            <w:tcW w:w="440" w:type="dxa"/>
            <w:vAlign w:val="bottom"/>
          </w:tcPr>
          <w:p>
            <w:pPr>
              <w:spacing w:after="0"/>
              <w:rPr>
                <w:sz w:val="12"/>
                <w:szCs w:val="12"/>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298,195</w:t>
            </w:r>
          </w:p>
        </w:tc>
        <w:tc>
          <w:tcPr>
            <w:tcW w:w="640" w:type="dxa"/>
            <w:vAlign w:val="bottom"/>
          </w:tcPr>
          <w:p>
            <w:pPr>
              <w:jc w:val="center"/>
              <w:ind w:left="55"/>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60"/>
              <w:spacing w:after="0" w:line="138"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(5)</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Borders>
              <w:bottom w:val="single" w:sz="8" w:color="2C2C2C"/>
            </w:tcBorders>
            <w:vMerge w:val="continue"/>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r>
              <w:rPr>
                <w:rFonts w:ascii="Times New Roman" w:cs="Times New Roman" w:eastAsia="Times New Roman" w:hAnsi="Times New Roman"/>
                <w:sz w:val="20"/>
                <w:szCs w:val="20"/>
                <w:color w:val="008000"/>
                <w:vertAlign w:val="superscript"/>
              </w:rPr>
              <w:t>(6)</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6.58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center"/>
              <w:ind w:right="339"/>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298,194</w:t>
            </w:r>
          </w:p>
        </w:tc>
        <w:tc>
          <w:tcPr>
            <w:tcW w:w="440" w:type="dxa"/>
            <w:vAlign w:val="bottom"/>
          </w:tcPr>
          <w:p>
            <w:pPr>
              <w:spacing w:after="0"/>
              <w:rPr>
                <w:sz w:val="20"/>
                <w:szCs w:val="20"/>
                <w:color w:val="auto"/>
              </w:rPr>
            </w:pPr>
          </w:p>
        </w:tc>
        <w:tc>
          <w:tcPr>
            <w:tcW w:w="78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3"/>
              </w:rPr>
              <w:t>Ordinary</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298,194</w:t>
            </w:r>
          </w:p>
        </w:tc>
        <w:tc>
          <w:tcPr>
            <w:tcW w:w="40" w:type="dxa"/>
            <w:vAlign w:val="bottom"/>
          </w:tcPr>
          <w:p>
            <w:pPr>
              <w:spacing w:after="0"/>
              <w:rPr>
                <w:sz w:val="20"/>
                <w:szCs w:val="20"/>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298,194</w:t>
            </w:r>
          </w:p>
        </w:tc>
        <w:tc>
          <w:tcPr>
            <w:tcW w:w="6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38"/>
              <w:spacing w:after="0" w:line="138" w:lineRule="exact"/>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-4564380</wp:posOffset>
            </wp:positionV>
            <wp:extent cx="28575" cy="4570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570095"/>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 w:right="140" w:hanging="2"/>
        <w:spacing w:after="0" w:line="309" w:lineRule="auto"/>
        <w:tabs>
          <w:tab w:leader="none" w:pos="128"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Shares held by Dajun Yang Dynasty Trust, of which the Reporting Person's spouse is the investment advisor. The Reporting Person disclaims beneficial ownership over such securities except to the extent of her pecuniary interest therein, and the inclusion of these securities in this report shall not be deemed an admission of beneficial ownership of the reported securities for purposes of Section 16 or for any other purposes.</w:t>
      </w:r>
    </w:p>
    <w:p>
      <w:pPr>
        <w:ind w:left="2" w:right="20" w:hanging="2"/>
        <w:spacing w:after="0" w:line="24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Reporting Person's spouse. The Reporting Person disclaims beneficial ownership over such securities except to the extent of her pecuniary interest therein, and the inclusion of these securities in this report shall not be deemed an admission of beneficial ownership of the reported securities for purposes of Section 16 or for any other purposes.</w:t>
      </w:r>
    </w:p>
    <w:p>
      <w:pPr>
        <w:spacing w:after="0" w:line="21" w:lineRule="exact"/>
        <w:rPr>
          <w:rFonts w:ascii="Times New Roman" w:cs="Times New Roman" w:eastAsia="Times New Roman" w:hAnsi="Times New Roman"/>
          <w:sz w:val="13"/>
          <w:szCs w:val="13"/>
          <w:color w:val="008000"/>
        </w:rPr>
      </w:pPr>
    </w:p>
    <w:p>
      <w:pPr>
        <w:ind w:left="2" w:right="140" w:hanging="2"/>
        <w:spacing w:after="0" w:line="24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HealthQuest Pharma Limited, an entity controlled by the Reporting Person. The Reporting Person disclaims beneficial ownership over such securities except to the extent of her pecuniary interest therein, and the inclusion of these securities in this report shall not be deemed an admission of beneficial ownership of the reported securities for purposes of Section 16 or for any other purposes.</w:t>
      </w:r>
    </w:p>
    <w:p>
      <w:pPr>
        <w:spacing w:after="0" w:line="21" w:lineRule="exact"/>
        <w:rPr>
          <w:rFonts w:ascii="Times New Roman" w:cs="Times New Roman" w:eastAsia="Times New Roman" w:hAnsi="Times New Roman"/>
          <w:sz w:val="13"/>
          <w:szCs w:val="13"/>
          <w:color w:val="008000"/>
        </w:rPr>
      </w:pPr>
    </w:p>
    <w:p>
      <w:pPr>
        <w:ind w:left="2" w:right="40" w:hanging="2"/>
        <w:spacing w:after="0" w:line="24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"RSUs") represents a contingent right to receive one Ordinary Share of the Issuer upon vesting. The RSUs vest in four equal increments on November 26, 2026, 2027, 2028 and 2029 and have no expiration date.</w:t>
      </w:r>
    </w:p>
    <w:p>
      <w:pPr>
        <w:spacing w:after="0" w:line="21"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four equal increments on May 21, 2027, 2028, 2029 and 2030 and have no expiration date.</w:t>
      </w:r>
    </w:p>
    <w:p>
      <w:pPr>
        <w:spacing w:after="0" w:line="38" w:lineRule="exact"/>
        <w:rPr>
          <w:rFonts w:ascii="Times New Roman" w:cs="Times New Roman" w:eastAsia="Times New Roman" w:hAnsi="Times New Roman"/>
          <w:sz w:val="13"/>
          <w:szCs w:val="13"/>
          <w:color w:val="008000"/>
        </w:rPr>
      </w:pPr>
    </w:p>
    <w:p>
      <w:pPr>
        <w:ind w:left="2" w:hanging="2"/>
        <w:spacing w:after="0" w:line="24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of the options is in HKD and the exercise price included in the table represents conversion to USD based on the exchange rate as of the date of grant. The options vest in four equal increments on May 21, 2027, 2028, 2029 and 2030 and expire ten years from the date of grant.</w:t>
      </w:r>
    </w:p>
    <w:p>
      <w:pPr>
        <w:spacing w:after="0" w:line="21" w:lineRule="exact"/>
        <w:rPr>
          <w:rFonts w:ascii="Times New Roman" w:cs="Times New Roman" w:eastAsia="Times New Roman" w:hAnsi="Times New Roman"/>
          <w:sz w:val="13"/>
          <w:szCs w:val="13"/>
          <w:color w:val="008000"/>
        </w:rPr>
      </w:pPr>
    </w:p>
    <w:p>
      <w:pPr>
        <w:ind w:left="2" w:hanging="2"/>
        <w:spacing w:after="0" w:line="24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of the options is in HKD and the exercise price included in the table represents conversion to USD based on the exchange rate as of the date of grant. The options vest in four equal increments on November 26, 2026, 2027, 2028 and 2029 and expire ten years from the date of grant.</w:t>
      </w:r>
    </w:p>
    <w:p>
      <w:pPr>
        <w:spacing w:after="0" w:line="21"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05/21/2026 and had no expiration date.</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on 5/21/2026 of the RSUs granted to the Reporting Person on 05/20/2026.</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on 5/21/2026 of the RSUs granted to the Reporting Person's spouse on 05/20/2026.</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0"/>
          <w:szCs w:val="20"/>
          <w:color w:val="auto"/>
        </w:rPr>
      </w:pPr>
    </w:p>
    <w:tbl>
      <w:tblPr>
        <w:tblLayout w:type="fixed"/>
        <w:tblInd w:w="6562"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/S/Thomas J. Knapp, Attorney-</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05/22/2026</w:t>
            </w: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6"/>
              </w:rPr>
              <w:t>in-Fact</w:t>
            </w:r>
          </w:p>
        </w:tc>
        <w:tc>
          <w:tcPr>
            <w:tcW w:w="166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56"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2"/>
          </w:cols>
          <w:pgMar w:left="498" w:top="128" w:right="579" w:bottom="1440" w:gutter="0" w:footer="0" w:header="0"/>
        </w:sectPr>
      </w:pPr>
    </w:p>
    <w:bookmarkStart w:id="2" w:name="page3"/>
    <w:bookmarkEnd w:id="2"/>
    <w:p>
      <w:pPr>
        <w:ind w:left="580"/>
        <w:spacing w:after="0"/>
        <w:rPr>
          <w:sz w:val="20"/>
          <w:szCs w:val="20"/>
          <w:color w:val="auto"/>
        </w:rPr>
      </w:pPr>
      <w:r>
        <w:rPr>
          <w:rFonts w:ascii="Courier New" w:cs="Courier New" w:eastAsia="Courier New" w:hAnsi="Courier New"/>
          <w:sz w:val="16"/>
          <w:szCs w:val="16"/>
          <w:color w:val="auto"/>
        </w:rPr>
        <w:t>POWER OF ATTORNEY</w:t>
      </w:r>
    </w:p>
    <w:p>
      <w:pPr>
        <w:spacing w:after="0" w:line="383" w:lineRule="exact"/>
        <w:rPr>
          <w:sz w:val="20"/>
          <w:szCs w:val="20"/>
          <w:color w:val="auto"/>
        </w:rPr>
      </w:pPr>
    </w:p>
    <w:p>
      <w:pPr>
        <w:ind w:right="2179"/>
        <w:spacing w:after="0" w:line="253" w:lineRule="auto"/>
        <w:rPr>
          <w:sz w:val="20"/>
          <w:szCs w:val="20"/>
          <w:color w:val="auto"/>
        </w:rPr>
      </w:pPr>
      <w:r>
        <w:rPr>
          <w:rFonts w:ascii="Courier New" w:cs="Courier New" w:eastAsia="Courier New" w:hAnsi="Courier New"/>
          <w:sz w:val="16"/>
          <w:szCs w:val="16"/>
          <w:color w:val="auto"/>
        </w:rPr>
        <w:t>The undersigned hereby makes, constitutes and appoints each of Thomas J. Knapp and Leslie Brault,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Ascentage Pharma Group International (the "Company"), to:</w:t>
      </w:r>
    </w:p>
    <w:p>
      <w:pPr>
        <w:spacing w:after="0" w:line="5" w:lineRule="exact"/>
        <w:rPr>
          <w:sz w:val="20"/>
          <w:szCs w:val="20"/>
          <w:color w:val="auto"/>
        </w:rPr>
      </w:pPr>
    </w:p>
    <w:p>
      <w:pPr>
        <w:ind w:right="2179"/>
        <w:spacing w:after="0" w:line="250"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1" w:lineRule="exact"/>
        <w:rPr>
          <w:rFonts w:ascii="Courier New" w:cs="Courier New" w:eastAsia="Courier New" w:hAnsi="Courier New"/>
          <w:sz w:val="16"/>
          <w:szCs w:val="16"/>
          <w:color w:val="auto"/>
        </w:rPr>
      </w:pPr>
    </w:p>
    <w:p>
      <w:pPr>
        <w:ind w:right="2179"/>
        <w:spacing w:after="0" w:line="248"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5" w:lineRule="exact"/>
        <w:rPr>
          <w:rFonts w:ascii="Courier New" w:cs="Courier New" w:eastAsia="Courier New" w:hAnsi="Courier New"/>
          <w:sz w:val="16"/>
          <w:szCs w:val="16"/>
          <w:color w:val="auto"/>
        </w:rPr>
      </w:pPr>
    </w:p>
    <w:p>
      <w:pPr>
        <w:ind w:right="1779"/>
        <w:spacing w:after="0" w:line="248"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and file SEC Filings with the SEC utilizing the EDGAR system or cause them to be submitted and filed by a person appointed under Section 5 below;</w:t>
      </w:r>
    </w:p>
    <w:p>
      <w:pPr>
        <w:spacing w:after="0" w:line="1" w:lineRule="exact"/>
        <w:rPr>
          <w:rFonts w:ascii="Courier New" w:cs="Courier New" w:eastAsia="Courier New" w:hAnsi="Courier New"/>
          <w:sz w:val="16"/>
          <w:szCs w:val="16"/>
          <w:color w:val="auto"/>
        </w:rPr>
      </w:pPr>
    </w:p>
    <w:p>
      <w:pPr>
        <w:ind w:right="1879"/>
        <w:spacing w:after="0" w:line="248"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submit or otherwise deliver SEC Filings to any securities exchange on which the Company's securities may be listed or traded;</w:t>
      </w:r>
    </w:p>
    <w:p>
      <w:pPr>
        <w:spacing w:after="0" w:line="1" w:lineRule="exact"/>
        <w:rPr>
          <w:rFonts w:ascii="Courier New" w:cs="Courier New" w:eastAsia="Courier New" w:hAnsi="Courier New"/>
          <w:sz w:val="16"/>
          <w:szCs w:val="16"/>
          <w:color w:val="auto"/>
        </w:rPr>
      </w:pPr>
    </w:p>
    <w:p>
      <w:pPr>
        <w:ind w:right="2479"/>
        <w:spacing w:after="0" w:line="248"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6" w:lineRule="exact"/>
        <w:rPr>
          <w:rFonts w:ascii="Courier New" w:cs="Courier New" w:eastAsia="Courier New" w:hAnsi="Courier New"/>
          <w:sz w:val="16"/>
          <w:szCs w:val="16"/>
          <w:color w:val="auto"/>
        </w:rPr>
      </w:pPr>
    </w:p>
    <w:p>
      <w:pPr>
        <w:ind w:right="2479"/>
        <w:spacing w:after="0" w:line="248"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 w:lineRule="exact"/>
        <w:rPr>
          <w:rFonts w:ascii="Courier New" w:cs="Courier New" w:eastAsia="Courier New" w:hAnsi="Courier New"/>
          <w:sz w:val="16"/>
          <w:szCs w:val="16"/>
          <w:color w:val="auto"/>
        </w:rPr>
      </w:pPr>
    </w:p>
    <w:p>
      <w:pPr>
        <w:ind w:right="1779"/>
        <w:spacing w:after="0" w:line="248" w:lineRule="auto"/>
        <w:tabs>
          <w:tab w:leader="none" w:pos="7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w:t>
      </w:r>
    </w:p>
    <w:p>
      <w:pPr>
        <w:spacing w:after="0" w:line="2" w:lineRule="exact"/>
        <w:rPr>
          <w:rFonts w:ascii="Courier New" w:cs="Courier New" w:eastAsia="Courier New" w:hAnsi="Courier New"/>
          <w:sz w:val="16"/>
          <w:szCs w:val="16"/>
          <w:color w:val="auto"/>
        </w:rPr>
      </w:pPr>
    </w:p>
    <w:p>
      <w:pPr>
        <w:ind w:right="21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administrators and trustees, and the undersigned hereby authorizes any such third party to release any such information to the Attorney-in-Fact.</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acknowledges that:</w:t>
      </w:r>
    </w:p>
    <w:p>
      <w:pPr>
        <w:spacing w:after="0" w:line="7" w:lineRule="exact"/>
        <w:rPr>
          <w:sz w:val="20"/>
          <w:szCs w:val="20"/>
          <w:color w:val="auto"/>
        </w:rPr>
      </w:pPr>
    </w:p>
    <w:p>
      <w:pPr>
        <w:ind w:right="1679"/>
        <w:spacing w:after="0" w:line="248" w:lineRule="auto"/>
        <w:tabs>
          <w:tab w:leader="none" w:pos="7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authorizes, but does not require, the Attorney-in-Fact to act in his or her discretion on information provided to such Attorney-in-Fact without independent verification of such information;</w:t>
      </w:r>
    </w:p>
    <w:p>
      <w:pPr>
        <w:spacing w:after="0" w:line="2" w:lineRule="exact"/>
        <w:rPr>
          <w:rFonts w:ascii="Courier New" w:cs="Courier New" w:eastAsia="Courier New" w:hAnsi="Courier New"/>
          <w:sz w:val="16"/>
          <w:szCs w:val="16"/>
          <w:color w:val="auto"/>
        </w:rPr>
      </w:pPr>
    </w:p>
    <w:p>
      <w:pPr>
        <w:ind w:right="1879"/>
        <w:spacing w:after="0" w:line="248" w:lineRule="auto"/>
        <w:tabs>
          <w:tab w:leader="none" w:pos="7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documents prepared or executed by the Attorney-in-Fact on behalf of the undersigned pursuant to this Power of Attorney will be in such form and will contain such information as the Attorney-in-Fact, in his or her discretion,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deems necessary or desirable;</w:t>
      </w:r>
    </w:p>
    <w:p>
      <w:pPr>
        <w:spacing w:after="0" w:line="6" w:lineRule="exact"/>
        <w:rPr>
          <w:rFonts w:ascii="Courier New" w:cs="Courier New" w:eastAsia="Courier New" w:hAnsi="Courier New"/>
          <w:sz w:val="16"/>
          <w:szCs w:val="16"/>
          <w:color w:val="auto"/>
        </w:rPr>
      </w:pPr>
    </w:p>
    <w:p>
      <w:pPr>
        <w:ind w:right="1979"/>
        <w:spacing w:after="0" w:line="251" w:lineRule="auto"/>
        <w:tabs>
          <w:tab w:leader="none" w:pos="7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0" w:lineRule="exact"/>
        <w:rPr>
          <w:rFonts w:ascii="Courier New" w:cs="Courier New" w:eastAsia="Courier New" w:hAnsi="Courier New"/>
          <w:sz w:val="16"/>
          <w:szCs w:val="16"/>
          <w:color w:val="auto"/>
        </w:rPr>
      </w:pPr>
    </w:p>
    <w:p>
      <w:pPr>
        <w:ind w:right="1879"/>
        <w:spacing w:after="0" w:line="248" w:lineRule="auto"/>
        <w:tabs>
          <w:tab w:leader="none" w:pos="7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 w:lineRule="exact"/>
        <w:rPr>
          <w:rFonts w:ascii="Courier New" w:cs="Courier New" w:eastAsia="Courier New" w:hAnsi="Courier New"/>
          <w:sz w:val="16"/>
          <w:szCs w:val="16"/>
          <w:color w:val="auto"/>
        </w:rPr>
      </w:pPr>
    </w:p>
    <w:p>
      <w:pPr>
        <w:ind w:right="21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3" w:lineRule="exact"/>
        <w:rPr>
          <w:rFonts w:ascii="Courier New" w:cs="Courier New" w:eastAsia="Courier New" w:hAnsi="Courier New"/>
          <w:sz w:val="16"/>
          <w:szCs w:val="16"/>
          <w:color w:val="auto"/>
        </w:rPr>
      </w:pPr>
    </w:p>
    <w:p>
      <w:pPr>
        <w:ind w:right="217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72" w:lineRule="exact"/>
        <w:rPr>
          <w:sz w:val="20"/>
          <w:szCs w:val="20"/>
          <w:color w:val="auto"/>
        </w:rPr>
      </w:pPr>
    </w:p>
    <w:p>
      <w:pPr>
        <w:ind w:right="2479"/>
        <w:spacing w:after="0" w:line="374"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March 5th, 2026.</w:t>
      </w:r>
    </w:p>
    <w:p>
      <w:pPr>
        <w:sectPr>
          <w:pgSz w:w="11900" w:h="16838" w:orient="portrait"/>
          <w:cols w:equalWidth="0" w:num="1">
            <w:col w:w="9999"/>
          </w:cols>
          <w:pgMar w:left="460" w:top="1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/S/Yifan Zhai</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Florida</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Orange</w:t>
      </w:r>
    </w:p>
    <w:p>
      <w:pPr>
        <w:spacing w:after="0" w:line="165" w:lineRule="exact"/>
        <w:rPr>
          <w:sz w:val="20"/>
          <w:szCs w:val="20"/>
          <w:color w:val="auto"/>
        </w:rPr>
      </w:pPr>
    </w:p>
    <w:p>
      <w:pPr>
        <w:ind w:right="2479"/>
        <w:spacing w:after="0" w:line="374" w:lineRule="auto"/>
        <w:rPr>
          <w:sz w:val="20"/>
          <w:szCs w:val="20"/>
          <w:color w:val="auto"/>
        </w:rPr>
      </w:pPr>
      <w:r>
        <w:rPr>
          <w:rFonts w:ascii="Courier New" w:cs="Courier New" w:eastAsia="Courier New" w:hAnsi="Courier New"/>
          <w:sz w:val="16"/>
          <w:szCs w:val="16"/>
          <w:color w:val="auto"/>
        </w:rPr>
        <w:t>This Power of Attorney was acknowledged before me on March 5th, 2026 by Yifan Zhai.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/S/Maggie Fung</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Signature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3017" TargetMode="External"/><Relationship Id="rId14" Type="http://schemas.openxmlformats.org/officeDocument/2006/relationships/hyperlink" Target="http://www.sec.gov/cgi-bin/browse-edgar?action=getcompany&amp;CIK=0002023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2026-05-22T16:38:50Z</dcterms:created>
  <dcterms:modified xsi:type="dcterms:W3CDTF">2026-05-22T16:38:50Z</dcterms:modified>
</cp:coreProperties>
</file>