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001-42484</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ASCENTAGE PHARMA GROUP INTERNATIONAL</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68 Xinqing Road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Suzhou Industrial Park</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Suzhou, Jiangsu</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4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June 11, 2026, Ascentage Pharma Group International issued an announcement entitled “Purchase of Shares by the Trustee for the Purpose of the 2022 RSU Scheme”. A copy of the press release is furnished as Exhibit 99.1.</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420" w:type="dxa"/>
            <w:vAlign w:val="bottom"/>
          </w:tcPr>
          <w:p>
            <w:pPr>
              <w:spacing w:after="0"/>
              <w:rPr>
                <w:sz w:val="18"/>
                <w:szCs w:val="18"/>
                <w:color w:val="auto"/>
              </w:rPr>
            </w:pPr>
          </w:p>
        </w:tc>
      </w:tr>
      <w:tr>
        <w:trPr>
          <w:trHeight w:val="24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1"/>
                <w:szCs w:val="21"/>
                <w:color w:val="auto"/>
              </w:rPr>
            </w:pPr>
          </w:p>
        </w:tc>
        <w:tc>
          <w:tcPr>
            <w:tcW w:w="10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216"/>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7420" w:type="dxa"/>
            <w:vAlign w:val="bottom"/>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5"/>
                <w:szCs w:val="15"/>
                <w:color w:val="auto"/>
              </w:rPr>
            </w:pPr>
          </w:p>
        </w:tc>
        <w:tc>
          <w:tcPr>
            <w:tcW w:w="10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Announcement dated June 11, 2026</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0000EE"/>
            </w:tcBorders>
            <w:shd w:val="clear" w:color="auto" w:fill="CCEEFF"/>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ASCENTAGE PHARMA GROUP INTERNATIONAL</w:t>
      </w:r>
    </w:p>
    <w:p>
      <w:pPr>
        <w:spacing w:after="0" w:line="22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June 11, 2026</w:t>
      </w:r>
      <w:r>
        <w:rPr>
          <w:sz w:val="20"/>
          <w:szCs w:val="20"/>
          <w:color w:val="auto"/>
        </w:rPr>
        <w:tab/>
      </w:r>
      <w:r>
        <w:rPr>
          <w:rFonts w:ascii="Times New Roman" w:cs="Times New Roman" w:eastAsia="Times New Roman" w:hAnsi="Times New Roman"/>
          <w:sz w:val="17"/>
          <w:szCs w:val="17"/>
          <w:i w:val="1"/>
          <w:iCs w:val="1"/>
          <w:color w:val="auto"/>
        </w:rPr>
        <w:t>/s/ Dajun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Dajun Yang</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123190</wp:posOffset>
            </wp:positionV>
            <wp:extent cx="2168525" cy="685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6852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ASCENTAGE PHARMA GROUP INTERNATIONAL</w:t>
      </w:r>
    </w:p>
    <w:p>
      <w:pPr>
        <w:spacing w:after="0" w:line="34" w:lineRule="exact"/>
        <w:rPr>
          <w:sz w:val="20"/>
          <w:szCs w:val="20"/>
          <w:color w:val="auto"/>
        </w:rPr>
      </w:pPr>
    </w:p>
    <w:p>
      <w:pPr>
        <w:ind w:left="5100"/>
        <w:spacing w:after="0" w:line="216" w:lineRule="exact"/>
        <w:rPr>
          <w:sz w:val="20"/>
          <w:szCs w:val="20"/>
          <w:color w:val="auto"/>
        </w:rPr>
      </w:pPr>
      <w:r>
        <w:rPr>
          <w:rFonts w:ascii="PMingLiU" w:cs="PMingLiU" w:eastAsia="PMingLiU" w:hAnsi="PMingLiU"/>
          <w:sz w:val="18"/>
          <w:szCs w:val="18"/>
          <w:color w:val="auto"/>
        </w:rPr>
        <w:t>亞盛醫藥集團</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i w:val="1"/>
          <w:iCs w:val="1"/>
          <w:color w:val="auto"/>
        </w:rPr>
        <w:t>(Incorporated in the Cayman Islands with limited liability)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Code: 6855)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VOLUNTARY ANNOUNCEMENT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OF SHARES BY THE TRUSTEE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PURPOSE OF THE 2022 RSU SCHEME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announcement is made by Ascentage Pharma Group International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a voluntary basis. Reference is made to the announcements of the Company dated June 23, 2022, July 14, 2022, October 21, 2022, October 25, 2022, October 26, 2022, October 27, 2022, October 28, 2022, October 31, 2022, May 8, 2023, November 13, 2023, November 14, 2023, November 16, 2023, February 2, 2024, September 2, 2024, October 25, 2024, March 31, 2025, April 8, 2025, April 30, 2025, June 27, 2025, November 27, 2025, December 30, 2025, April 20, 2026, April 30, 2026, May 27, 2026, May 28, 2026 and June 10, 2026 (the “</w:t>
      </w:r>
      <w:r>
        <w:rPr>
          <w:rFonts w:ascii="Times New Roman" w:cs="Times New Roman" w:eastAsia="Times New Roman" w:hAnsi="Times New Roman"/>
          <w:sz w:val="18"/>
          <w:szCs w:val="18"/>
          <w:b w:val="1"/>
          <w:bCs w:val="1"/>
          <w:color w:val="auto"/>
        </w:rPr>
        <w:t>Announcements</w:t>
      </w:r>
      <w:r>
        <w:rPr>
          <w:rFonts w:ascii="Times New Roman" w:cs="Times New Roman" w:eastAsia="Times New Roman" w:hAnsi="Times New Roman"/>
          <w:sz w:val="18"/>
          <w:szCs w:val="18"/>
          <w:color w:val="auto"/>
        </w:rPr>
        <w:t>”) in relation to, among other things, (i) the adoption of and amendments to the 2022 RSU Scheme; (ii) the initial grant and the further grants of the 2022 Awards thereunder; and (iii) the purchase of existing Shares by the Trustee on-market for the purpose of the 2022 RSU Scheme. Unless otherwise defined, capitalized terms used herein shall have the same meanings as those defined in the Announcements.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June 11, 2026, the Trustee purchased a total of 110,000 existing Shares (the “</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on-market for the purpose of the 2022 RSU Scheme to satisfy the RSUs upon vesting. Details of the Purchased Shares and the latest information about the Shares held by the Trustee under the Scheme are as follows:</w:t>
      </w:r>
    </w:p>
    <w:p>
      <w:pPr>
        <w:sectPr>
          <w:pgSz w:w="11900" w:h="16838" w:orient="portrait"/>
          <w:cols w:equalWidth="0" w:num="1">
            <w:col w:w="11240"/>
          </w:cols>
          <w:pgMar w:left="320" w:top="108" w:right="339" w:bottom="1440" w:gutter="0" w:footer="0" w:header="0"/>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number of the Purchased Shares</w:t>
      </w:r>
    </w:p>
    <w:p>
      <w:pPr>
        <w:spacing w:after="0" w:line="225" w:lineRule="exact"/>
        <w:rPr>
          <w:sz w:val="20"/>
          <w:szCs w:val="20"/>
          <w:color w:val="auto"/>
        </w:rPr>
      </w:pPr>
    </w:p>
    <w:p>
      <w:pPr>
        <w:ind w:left="180" w:hanging="161"/>
        <w:spacing w:after="0" w:line="282" w:lineRule="auto"/>
        <w:rPr>
          <w:sz w:val="20"/>
          <w:szCs w:val="20"/>
          <w:color w:val="auto"/>
        </w:rPr>
      </w:pPr>
      <w:r>
        <w:rPr>
          <w:rFonts w:ascii="Times New Roman" w:cs="Times New Roman" w:eastAsia="Times New Roman" w:hAnsi="Times New Roman"/>
          <w:sz w:val="18"/>
          <w:szCs w:val="18"/>
          <w:color w:val="auto"/>
        </w:rPr>
        <w:t>Percentage of the Purchased Shares to the total number of issued Shares as at the date of this announcement</w:t>
      </w:r>
    </w:p>
    <w:p>
      <w:pPr>
        <w:spacing w:after="0" w:line="162" w:lineRule="exact"/>
        <w:rPr>
          <w:sz w:val="20"/>
          <w:szCs w:val="20"/>
          <w:color w:val="auto"/>
        </w:rPr>
      </w:pPr>
    </w:p>
    <w:p>
      <w:pPr>
        <w:ind w:left="180" w:hanging="161"/>
        <w:spacing w:after="0" w:line="282" w:lineRule="auto"/>
        <w:rPr>
          <w:sz w:val="20"/>
          <w:szCs w:val="20"/>
          <w:color w:val="auto"/>
        </w:rPr>
      </w:pPr>
      <w:r>
        <w:rPr>
          <w:rFonts w:ascii="Times New Roman" w:cs="Times New Roman" w:eastAsia="Times New Roman" w:hAnsi="Times New Roman"/>
          <w:sz w:val="18"/>
          <w:szCs w:val="18"/>
          <w:color w:val="auto"/>
        </w:rPr>
        <w:t>Total consideration paid for the Purchased Shares (excluding all related expenses, transaction levy, brokerage, tax, duties and levies)</w:t>
      </w:r>
    </w:p>
    <w:p>
      <w:pPr>
        <w:spacing w:after="0" w:line="162" w:lineRule="exact"/>
        <w:rPr>
          <w:sz w:val="20"/>
          <w:szCs w:val="20"/>
          <w:color w:val="auto"/>
        </w:rPr>
      </w:pPr>
    </w:p>
    <w:p>
      <w:pPr>
        <w:ind w:left="180" w:hanging="161"/>
        <w:spacing w:after="0" w:line="282" w:lineRule="auto"/>
        <w:rPr>
          <w:sz w:val="20"/>
          <w:szCs w:val="20"/>
          <w:color w:val="auto"/>
        </w:rPr>
      </w:pPr>
      <w:r>
        <w:rPr>
          <w:rFonts w:ascii="Times New Roman" w:cs="Times New Roman" w:eastAsia="Times New Roman" w:hAnsi="Times New Roman"/>
          <w:sz w:val="18"/>
          <w:szCs w:val="18"/>
          <w:color w:val="auto"/>
        </w:rPr>
        <w:t>Average consideration per Purchased Share (excluding all related expenses, transaction levy, brokerage, tax, duties and levies)</w:t>
      </w:r>
    </w:p>
    <w:p>
      <w:pPr>
        <w:spacing w:after="0" w:line="162" w:lineRule="exact"/>
        <w:rPr>
          <w:sz w:val="20"/>
          <w:szCs w:val="20"/>
          <w:color w:val="auto"/>
        </w:rPr>
      </w:pPr>
    </w:p>
    <w:p>
      <w:pPr>
        <w:ind w:left="180" w:hanging="161"/>
        <w:spacing w:after="0" w:line="282" w:lineRule="auto"/>
        <w:rPr>
          <w:sz w:val="20"/>
          <w:szCs w:val="20"/>
          <w:color w:val="auto"/>
        </w:rPr>
      </w:pPr>
      <w:r>
        <w:rPr>
          <w:rFonts w:ascii="Times New Roman" w:cs="Times New Roman" w:eastAsia="Times New Roman" w:hAnsi="Times New Roman"/>
          <w:sz w:val="18"/>
          <w:szCs w:val="18"/>
          <w:color w:val="auto"/>
        </w:rPr>
        <w:t>Total number of existing Shares purchased by the Trustee on-market for the purpose of the 2022 RSU Scheme immediately after the aforesaid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310" w:hanging="310"/>
        <w:spacing w:after="0"/>
        <w:tabs>
          <w:tab w:leader="none" w:pos="31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11, 2026</w:t>
      </w:r>
    </w:p>
    <w:p>
      <w:pPr>
        <w:spacing w:after="0" w:line="225" w:lineRule="exact"/>
        <w:rPr>
          <w:rFonts w:ascii="Times New Roman" w:cs="Times New Roman" w:eastAsia="Times New Roman" w:hAnsi="Times New Roman"/>
          <w:sz w:val="18"/>
          <w:szCs w:val="18"/>
          <w:color w:val="auto"/>
        </w:rPr>
      </w:pPr>
    </w:p>
    <w:p>
      <w:pPr>
        <w:ind w:left="310" w:hanging="310"/>
        <w:spacing w:after="0"/>
        <w:tabs>
          <w:tab w:leader="none" w:pos="31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110,000 Shares</w:t>
      </w:r>
    </w:p>
    <w:p>
      <w:pPr>
        <w:spacing w:after="0" w:line="225" w:lineRule="exact"/>
        <w:rPr>
          <w:rFonts w:ascii="Times New Roman" w:cs="Times New Roman" w:eastAsia="Times New Roman" w:hAnsi="Times New Roman"/>
          <w:sz w:val="18"/>
          <w:szCs w:val="18"/>
          <w:color w:val="auto"/>
        </w:rPr>
      </w:pPr>
    </w:p>
    <w:p>
      <w:pPr>
        <w:ind w:left="310" w:hanging="310"/>
        <w:spacing w:after="0"/>
        <w:tabs>
          <w:tab w:leader="none" w:pos="31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0.0294%</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10" w:hanging="310"/>
        <w:spacing w:after="0"/>
        <w:tabs>
          <w:tab w:leader="none" w:pos="31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HK$3,671,094</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10" w:hanging="310"/>
        <w:spacing w:after="0"/>
        <w:tabs>
          <w:tab w:leader="none" w:pos="31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HK$33.37</w:t>
      </w:r>
    </w:p>
    <w:p>
      <w:pPr>
        <w:spacing w:after="0" w:line="200" w:lineRule="exact"/>
        <w:rPr>
          <w:rFonts w:ascii="Times New Roman" w:cs="Times New Roman" w:eastAsia="Times New Roman" w:hAnsi="Times New Roman"/>
          <w:sz w:val="17"/>
          <w:szCs w:val="17"/>
          <w:color w:val="auto"/>
        </w:rPr>
      </w:pPr>
    </w:p>
    <w:p>
      <w:pPr>
        <w:spacing w:after="0" w:line="252" w:lineRule="exact"/>
        <w:rPr>
          <w:rFonts w:ascii="Times New Roman" w:cs="Times New Roman" w:eastAsia="Times New Roman" w:hAnsi="Times New Roman"/>
          <w:sz w:val="17"/>
          <w:szCs w:val="17"/>
          <w:color w:val="auto"/>
        </w:rPr>
      </w:pPr>
    </w:p>
    <w:p>
      <w:pPr>
        <w:ind w:left="310" w:hanging="310"/>
        <w:spacing w:after="0"/>
        <w:tabs>
          <w:tab w:leader="none" w:pos="31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2,615,000 Shares</w:t>
      </w:r>
    </w:p>
    <w:p>
      <w:pPr>
        <w:sectPr>
          <w:pgSz w:w="11900" w:h="16838" w:orient="portrait"/>
          <w:cols w:equalWidth="0" w:num="2">
            <w:col w:w="6760" w:space="270"/>
            <w:col w:w="4210"/>
          </w:cols>
          <w:pgMar w:left="320" w:top="108" w:right="339" w:bottom="1440" w:gutter="0" w:footer="0" w:header="0"/>
          <w:type w:val="continuous"/>
        </w:sectPr>
      </w:pPr>
    </w:p>
    <w:bookmarkStart w:id="5" w:name="page6"/>
    <w:bookmarkEnd w:id="5"/>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Purchased Shares are currently held by the Trustee in accordance with the 2022 RSU Scheme Rules and the terms of the trust deed entered into between the Company and the Trustee. The Trustee shall not exercise the voting rights attached to the Shares held on trust by it. As at the date of this announcement, no further grant of Awards has been made pursuant to the 2022 RSU Scheme apart from the initial grant of the 2022 Awards on June 23, 2022 and the further grants of the 2022 Awards on May 4, 2023, September 2, 2024, June 27, 2025, November 26, 2025 and April 20, 2026 as disclosed in the Announcements.</w:t>
      </w:r>
    </w:p>
    <w:p>
      <w:pPr>
        <w:spacing w:after="0" w:line="183"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b w:val="1"/>
          <w:bCs w:val="1"/>
          <w:color w:val="auto"/>
        </w:rPr>
        <w:t>Ascentage Pharma Group International</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Dr. Yang Dajun</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i w:val="1"/>
          <w:iCs w:val="1"/>
          <w:color w:val="auto"/>
        </w:rPr>
        <w:t>Chairman and Executive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Suzhou, People’s Republic of China, June 11, 2026</w:t>
      </w:r>
    </w:p>
    <w:p>
      <w:pPr>
        <w:spacing w:after="0" w:line="22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comprises Dr. Yang Dajun as Chairman and executive Director, Dr. Wang Shaomeng and Dr. Lu Simon Dazhong</w:t>
      </w:r>
      <w:r>
        <w:rPr>
          <w:rFonts w:ascii="Times New Roman" w:cs="Times New Roman" w:eastAsia="Times New Roman" w:hAnsi="Times New Roman"/>
          <w:sz w:val="29"/>
          <w:szCs w:val="29"/>
          <w:i w:val="1"/>
          <w:iCs w:val="1"/>
          <w:color w:val="auto"/>
          <w:vertAlign w:val="superscript"/>
        </w:rPr>
        <w:t>Note 1</w:t>
      </w:r>
      <w:r>
        <w:rPr>
          <w:rFonts w:ascii="Times New Roman" w:cs="Times New Roman" w:eastAsia="Times New Roman" w:hAnsi="Times New Roman"/>
          <w:sz w:val="18"/>
          <w:szCs w:val="18"/>
          <w:i w:val="1"/>
          <w:iCs w:val="1"/>
          <w:color w:val="auto"/>
        </w:rPr>
        <w:t xml:space="preserve"> as non-executive Directors, and Mr. Ye Changqing, Mr. Ren Wei, Dr. David Sidransky </w:t>
      </w:r>
      <w:r>
        <w:rPr>
          <w:rFonts w:ascii="Times New Roman" w:cs="Times New Roman" w:eastAsia="Times New Roman" w:hAnsi="Times New Roman"/>
          <w:sz w:val="29"/>
          <w:szCs w:val="29"/>
          <w:i w:val="1"/>
          <w:iCs w:val="1"/>
          <w:color w:val="auto"/>
          <w:vertAlign w:val="superscript"/>
        </w:rPr>
        <w:t>Note 2</w:t>
      </w:r>
      <w:r>
        <w:rPr>
          <w:rFonts w:ascii="Times New Roman" w:cs="Times New Roman" w:eastAsia="Times New Roman" w:hAnsi="Times New Roman"/>
          <w:sz w:val="18"/>
          <w:szCs w:val="18"/>
          <w:i w:val="1"/>
          <w:iCs w:val="1"/>
          <w:color w:val="auto"/>
        </w:rPr>
        <w:t>, Ms. Marina S. Bozilenko, Dr. Debra Yu and Dr. Marc E. Lippman, MD as independent non-executive Directors.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5" w:lineRule="exact"/>
        <w:rPr>
          <w:sz w:val="20"/>
          <w:szCs w:val="20"/>
          <w:color w:val="auto"/>
        </w:rPr>
      </w:pPr>
    </w:p>
    <w:p>
      <w:pPr>
        <w:ind w:left="340" w:right="20" w:hanging="332"/>
        <w:spacing w:after="0" w:line="284" w:lineRule="auto"/>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Dr. Lu Simon Dazhong satisfy the independence requirements of the U.S. Securities and Exchange Commission and Nasdaq corporate governance requirements.</w:t>
      </w:r>
    </w:p>
    <w:p>
      <w:pPr>
        <w:spacing w:after="0" w:line="158"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Dr. David Sidransky is the Lead Independent Non-Executive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2026-06-12T05:07:04Z</dcterms:created>
  <dcterms:modified xsi:type="dcterms:W3CDTF">2026-06-12T05:07:04Z</dcterms:modified>
</cp:coreProperties>
</file>